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D1FA" w14:textId="77777777" w:rsidR="0094605E" w:rsidRDefault="0094605E" w:rsidP="0094605E">
      <w:pPr>
        <w:pStyle w:val="ListParagraph"/>
        <w:ind w:left="-58" w:right="-709"/>
        <w:jc w:val="right"/>
        <w:rPr>
          <w:rFonts w:cs="David"/>
          <w:sz w:val="24"/>
          <w:szCs w:val="24"/>
          <w:rtl/>
        </w:rPr>
      </w:pPr>
      <w:r>
        <w:rPr>
          <w:rFonts w:cs="David" w:hint="cs"/>
          <w:sz w:val="24"/>
          <w:szCs w:val="24"/>
          <w:rtl/>
        </w:rPr>
        <w:t>23 במאי, 2021</w:t>
      </w:r>
    </w:p>
    <w:p w14:paraId="3667907B" w14:textId="77777777" w:rsidR="0094605E" w:rsidRDefault="0094605E" w:rsidP="0094605E">
      <w:pPr>
        <w:pStyle w:val="ListParagraph"/>
        <w:ind w:left="-58" w:right="-142"/>
        <w:rPr>
          <w:rFonts w:cs="David"/>
          <w:b/>
          <w:bCs/>
          <w:sz w:val="24"/>
          <w:szCs w:val="24"/>
          <w:rtl/>
        </w:rPr>
      </w:pPr>
      <w:r w:rsidRPr="00B064F2">
        <w:rPr>
          <w:rFonts w:cs="David" w:hint="cs"/>
          <w:b/>
          <w:bCs/>
          <w:sz w:val="24"/>
          <w:szCs w:val="24"/>
          <w:rtl/>
        </w:rPr>
        <w:t>לכבוד</w:t>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hint="cs"/>
          <w:b/>
          <w:bCs/>
          <w:sz w:val="24"/>
          <w:szCs w:val="24"/>
          <w:rtl/>
        </w:rPr>
        <w:t>לכבוד</w:t>
      </w:r>
    </w:p>
    <w:p w14:paraId="3E1E8378" w14:textId="77777777" w:rsidR="0094605E" w:rsidRDefault="0094605E" w:rsidP="0094605E">
      <w:pPr>
        <w:pStyle w:val="ListParagraph"/>
        <w:ind w:left="-58" w:right="-142"/>
        <w:rPr>
          <w:rFonts w:cs="David"/>
          <w:b/>
          <w:bCs/>
          <w:sz w:val="24"/>
          <w:szCs w:val="24"/>
          <w:rtl/>
        </w:rPr>
      </w:pPr>
      <w:r>
        <w:rPr>
          <w:rFonts w:cs="David" w:hint="cs"/>
          <w:b/>
          <w:bCs/>
          <w:sz w:val="24"/>
          <w:szCs w:val="24"/>
          <w:rtl/>
        </w:rPr>
        <w:t>חוה מונדרוביץ'</w:t>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sidRPr="003101D0">
        <w:rPr>
          <w:rFonts w:cs="David" w:hint="cs"/>
          <w:b/>
          <w:bCs/>
          <w:sz w:val="24"/>
          <w:szCs w:val="24"/>
          <w:rtl/>
        </w:rPr>
        <w:t>עמיר יצחקי</w:t>
      </w:r>
    </w:p>
    <w:p w14:paraId="33A662B1" w14:textId="77777777" w:rsidR="0094605E" w:rsidRDefault="0094605E" w:rsidP="0094605E">
      <w:pPr>
        <w:pStyle w:val="ListParagraph"/>
        <w:ind w:left="-58" w:right="-142"/>
        <w:rPr>
          <w:rFonts w:cs="David"/>
          <w:b/>
          <w:bCs/>
          <w:sz w:val="24"/>
          <w:szCs w:val="24"/>
          <w:rtl/>
        </w:rPr>
      </w:pPr>
      <w:r>
        <w:rPr>
          <w:rFonts w:cs="David" w:hint="cs"/>
          <w:b/>
          <w:bCs/>
          <w:sz w:val="24"/>
          <w:szCs w:val="24"/>
          <w:rtl/>
        </w:rPr>
        <w:t>מנהלת אגף רישוי עסקים ארצי</w:t>
      </w:r>
      <w:r w:rsidRPr="003101D0">
        <w:rPr>
          <w:rFonts w:cs="David" w:hint="cs"/>
          <w:b/>
          <w:bCs/>
          <w:sz w:val="24"/>
          <w:szCs w:val="24"/>
          <w:rtl/>
        </w:rPr>
        <w:tab/>
        <w:t xml:space="preserve"> </w:t>
      </w:r>
      <w:r>
        <w:rPr>
          <w:rFonts w:cs="David"/>
          <w:b/>
          <w:bCs/>
          <w:sz w:val="24"/>
          <w:szCs w:val="24"/>
          <w:rtl/>
        </w:rPr>
        <w:tab/>
      </w:r>
      <w:r>
        <w:rPr>
          <w:rFonts w:cs="David" w:hint="cs"/>
          <w:b/>
          <w:bCs/>
          <w:sz w:val="24"/>
          <w:szCs w:val="24"/>
          <w:rtl/>
        </w:rPr>
        <w:t>ראש שירותי בריאות הציבור</w:t>
      </w:r>
      <w:r>
        <w:rPr>
          <w:rFonts w:cs="David" w:hint="cs"/>
          <w:b/>
          <w:bCs/>
          <w:sz w:val="24"/>
          <w:szCs w:val="24"/>
          <w:rtl/>
        </w:rPr>
        <w:tab/>
      </w:r>
      <w:r>
        <w:rPr>
          <w:rFonts w:cs="David" w:hint="cs"/>
          <w:b/>
          <w:bCs/>
          <w:sz w:val="24"/>
          <w:szCs w:val="24"/>
          <w:rtl/>
        </w:rPr>
        <w:tab/>
      </w:r>
      <w:r>
        <w:rPr>
          <w:rFonts w:cs="David" w:hint="cs"/>
          <w:b/>
          <w:bCs/>
          <w:sz w:val="24"/>
          <w:szCs w:val="24"/>
          <w:rtl/>
        </w:rPr>
        <w:tab/>
      </w:r>
    </w:p>
    <w:p w14:paraId="112500D0" w14:textId="77777777" w:rsidR="0094605E" w:rsidRDefault="0094605E" w:rsidP="0094605E">
      <w:pPr>
        <w:pStyle w:val="ListParagraph"/>
        <w:ind w:left="-58" w:right="-142"/>
        <w:rPr>
          <w:rFonts w:cs="David"/>
          <w:b/>
          <w:bCs/>
          <w:sz w:val="24"/>
          <w:szCs w:val="24"/>
          <w:rtl/>
        </w:rPr>
      </w:pPr>
      <w:r>
        <w:rPr>
          <w:rFonts w:cs="David" w:hint="cs"/>
          <w:b/>
          <w:bCs/>
          <w:sz w:val="24"/>
          <w:szCs w:val="24"/>
          <w:rtl/>
        </w:rPr>
        <w:t xml:space="preserve">משרד הפנים </w:t>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hint="cs"/>
          <w:b/>
          <w:bCs/>
          <w:sz w:val="24"/>
          <w:szCs w:val="24"/>
          <w:rtl/>
        </w:rPr>
        <w:t xml:space="preserve">משרד הבריאות </w:t>
      </w:r>
      <w:r>
        <w:rPr>
          <w:rFonts w:cs="David" w:hint="cs"/>
          <w:b/>
          <w:bCs/>
          <w:sz w:val="24"/>
          <w:szCs w:val="24"/>
          <w:rtl/>
        </w:rPr>
        <w:tab/>
      </w:r>
      <w:r>
        <w:rPr>
          <w:rFonts w:cs="David" w:hint="cs"/>
          <w:b/>
          <w:bCs/>
          <w:sz w:val="24"/>
          <w:szCs w:val="24"/>
          <w:rtl/>
        </w:rPr>
        <w:tab/>
      </w:r>
    </w:p>
    <w:p w14:paraId="539CDD3D" w14:textId="77777777" w:rsidR="0094605E" w:rsidRDefault="0094605E" w:rsidP="0094605E">
      <w:pPr>
        <w:pStyle w:val="ListParagraph"/>
        <w:ind w:left="-58" w:right="-142"/>
        <w:rPr>
          <w:rFonts w:cs="David"/>
          <w:sz w:val="24"/>
          <w:szCs w:val="24"/>
          <w:rtl/>
        </w:rPr>
      </w:pPr>
      <w:r>
        <w:rPr>
          <w:rFonts w:cs="David" w:hint="cs"/>
          <w:b/>
          <w:bCs/>
          <w:sz w:val="24"/>
          <w:szCs w:val="24"/>
          <w:u w:val="single"/>
          <w:rtl/>
        </w:rPr>
        <w:t>ירושלים</w:t>
      </w:r>
      <w:r>
        <w:rPr>
          <w:rFonts w:cs="David"/>
          <w:b/>
          <w:bCs/>
          <w:sz w:val="24"/>
          <w:szCs w:val="24"/>
          <w:rtl/>
        </w:rPr>
        <w:tab/>
      </w:r>
      <w:r>
        <w:rPr>
          <w:rFonts w:cs="David"/>
          <w:b/>
          <w:bCs/>
          <w:sz w:val="24"/>
          <w:szCs w:val="24"/>
          <w:rtl/>
        </w:rPr>
        <w:tab/>
      </w:r>
      <w:r>
        <w:rPr>
          <w:rFonts w:cs="David"/>
          <w:b/>
          <w:bCs/>
          <w:sz w:val="24"/>
          <w:szCs w:val="24"/>
          <w:rtl/>
        </w:rPr>
        <w:tab/>
      </w:r>
      <w:r>
        <w:rPr>
          <w:rFonts w:cs="David"/>
          <w:b/>
          <w:bCs/>
          <w:sz w:val="24"/>
          <w:szCs w:val="24"/>
          <w:rtl/>
        </w:rPr>
        <w:tab/>
      </w:r>
      <w:r>
        <w:rPr>
          <w:rFonts w:cs="David" w:hint="cs"/>
          <w:sz w:val="24"/>
          <w:szCs w:val="24"/>
          <w:rtl/>
        </w:rPr>
        <w:tab/>
      </w:r>
      <w:r>
        <w:rPr>
          <w:rFonts w:cs="David" w:hint="cs"/>
          <w:b/>
          <w:bCs/>
          <w:sz w:val="24"/>
          <w:szCs w:val="24"/>
          <w:u w:val="single"/>
          <w:rtl/>
        </w:rPr>
        <w:t>ירושלים</w:t>
      </w:r>
      <w:r>
        <w:rPr>
          <w:rFonts w:cs="David" w:hint="cs"/>
          <w:sz w:val="24"/>
          <w:szCs w:val="24"/>
          <w:rtl/>
        </w:rPr>
        <w:tab/>
      </w:r>
    </w:p>
    <w:p w14:paraId="43E05769" w14:textId="77777777" w:rsidR="0094605E" w:rsidRDefault="0094605E" w:rsidP="0094605E">
      <w:pPr>
        <w:pStyle w:val="ListParagraph"/>
        <w:ind w:left="-58" w:right="-142"/>
        <w:rPr>
          <w:rFonts w:cs="David"/>
          <w:sz w:val="24"/>
          <w:szCs w:val="24"/>
          <w:rtl/>
        </w:rPr>
      </w:pPr>
    </w:p>
    <w:p w14:paraId="1086205A" w14:textId="77777777" w:rsidR="0094605E" w:rsidRDefault="0094605E" w:rsidP="0094605E">
      <w:pPr>
        <w:pStyle w:val="ListParagraph"/>
        <w:ind w:left="-58" w:right="-142"/>
        <w:rPr>
          <w:rFonts w:cs="David"/>
          <w:sz w:val="24"/>
          <w:szCs w:val="24"/>
          <w:rtl/>
        </w:rPr>
      </w:pPr>
    </w:p>
    <w:p w14:paraId="0493E1EF" w14:textId="77777777" w:rsidR="0094605E" w:rsidRDefault="0094605E" w:rsidP="0094605E">
      <w:pPr>
        <w:pStyle w:val="ListParagraph"/>
        <w:ind w:left="-58" w:right="-142"/>
        <w:rPr>
          <w:rFonts w:cs="David"/>
          <w:sz w:val="24"/>
          <w:szCs w:val="24"/>
          <w:rtl/>
        </w:rPr>
      </w:pPr>
      <w:r>
        <w:rPr>
          <w:rFonts w:cs="David" w:hint="cs"/>
          <w:sz w:val="24"/>
          <w:szCs w:val="24"/>
          <w:rtl/>
        </w:rPr>
        <w:t>שלום רב,</w:t>
      </w:r>
    </w:p>
    <w:p w14:paraId="384F3B02" w14:textId="77777777" w:rsidR="0094605E" w:rsidRDefault="0094605E" w:rsidP="0094605E">
      <w:pPr>
        <w:pStyle w:val="ListParagraph"/>
        <w:ind w:left="-58" w:right="-142"/>
        <w:rPr>
          <w:rFonts w:cs="David"/>
          <w:sz w:val="24"/>
          <w:szCs w:val="24"/>
          <w:rtl/>
        </w:rPr>
      </w:pPr>
    </w:p>
    <w:p w14:paraId="52978382" w14:textId="77777777" w:rsidR="0094605E" w:rsidRDefault="0094605E" w:rsidP="0094605E">
      <w:pPr>
        <w:pStyle w:val="ListParagraph"/>
        <w:ind w:left="-58" w:right="-142"/>
        <w:rPr>
          <w:rFonts w:cs="David"/>
          <w:sz w:val="24"/>
          <w:szCs w:val="24"/>
          <w:rtl/>
        </w:rPr>
      </w:pPr>
    </w:p>
    <w:p w14:paraId="199CEC85" w14:textId="7E2140BD" w:rsidR="0094605E" w:rsidRDefault="0094605E" w:rsidP="0094605E">
      <w:pPr>
        <w:pStyle w:val="ListParagraph"/>
        <w:spacing w:after="120"/>
        <w:ind w:left="-57" w:right="-142"/>
        <w:contextualSpacing w:val="0"/>
        <w:jc w:val="center"/>
        <w:rPr>
          <w:rFonts w:cs="David"/>
          <w:b/>
          <w:bCs/>
          <w:sz w:val="28"/>
          <w:szCs w:val="28"/>
          <w:u w:val="single"/>
          <w:rtl/>
        </w:rPr>
      </w:pPr>
      <w:r>
        <w:rPr>
          <w:rFonts w:cs="David" w:hint="cs"/>
          <w:sz w:val="24"/>
          <w:szCs w:val="24"/>
          <w:rtl/>
        </w:rPr>
        <w:t xml:space="preserve">הנדון: </w:t>
      </w:r>
      <w:r>
        <w:rPr>
          <w:rFonts w:cs="David" w:hint="cs"/>
          <w:b/>
          <w:bCs/>
          <w:sz w:val="28"/>
          <w:szCs w:val="28"/>
          <w:u w:val="single"/>
          <w:rtl/>
        </w:rPr>
        <w:t>הערות התאחדות המלונות לטיוטת מפרט אחיד 7.4</w:t>
      </w:r>
      <w:r>
        <w:rPr>
          <w:rFonts w:cs="David"/>
          <w:b/>
          <w:bCs/>
          <w:sz w:val="28"/>
          <w:szCs w:val="28"/>
          <w:u w:val="single"/>
          <w:rtl/>
        </w:rPr>
        <w:t>–</w:t>
      </w:r>
      <w:r w:rsidRPr="0051109A">
        <w:rPr>
          <w:rFonts w:cs="David"/>
          <w:b/>
          <w:bCs/>
          <w:sz w:val="28"/>
          <w:szCs w:val="28"/>
          <w:u w:val="single"/>
          <w:rtl/>
        </w:rPr>
        <w:t xml:space="preserve"> </w:t>
      </w:r>
      <w:r>
        <w:rPr>
          <w:rFonts w:cs="David" w:hint="cs"/>
          <w:b/>
          <w:bCs/>
          <w:sz w:val="28"/>
          <w:szCs w:val="28"/>
          <w:u w:val="single"/>
          <w:rtl/>
        </w:rPr>
        <w:t xml:space="preserve">בריכות שחייה </w:t>
      </w:r>
    </w:p>
    <w:p w14:paraId="342A5913" w14:textId="77777777" w:rsidR="0094605E" w:rsidRDefault="0094605E" w:rsidP="0094605E">
      <w:pPr>
        <w:pStyle w:val="ListParagraph"/>
        <w:ind w:left="-58"/>
        <w:contextualSpacing w:val="0"/>
        <w:jc w:val="both"/>
        <w:rPr>
          <w:rFonts w:cs="David"/>
          <w:sz w:val="24"/>
          <w:szCs w:val="24"/>
          <w:rtl/>
        </w:rPr>
      </w:pPr>
      <w:r>
        <w:rPr>
          <w:rFonts w:cs="David" w:hint="cs"/>
          <w:sz w:val="24"/>
          <w:szCs w:val="24"/>
          <w:rtl/>
        </w:rPr>
        <w:t>אנו מודים על פרסום טיוטת המפרט האחיד של משרד הבריאות הנ"ל ואנחנו מתכבדים להעיר על טיוטת המפרט כלהלן.</w:t>
      </w:r>
    </w:p>
    <w:p w14:paraId="60780126" w14:textId="69F932BA" w:rsidR="0094605E" w:rsidRPr="007C376A" w:rsidRDefault="0094605E" w:rsidP="0094605E">
      <w:pPr>
        <w:pStyle w:val="ListParagraph"/>
        <w:ind w:left="-58"/>
        <w:contextualSpacing w:val="0"/>
        <w:jc w:val="both"/>
        <w:rPr>
          <w:rFonts w:cs="David"/>
          <w:sz w:val="24"/>
          <w:szCs w:val="24"/>
          <w:rtl/>
        </w:rPr>
      </w:pPr>
      <w:r>
        <w:rPr>
          <w:rFonts w:cs="David" w:hint="cs"/>
          <w:sz w:val="24"/>
          <w:szCs w:val="24"/>
          <w:rtl/>
        </w:rPr>
        <w:t xml:space="preserve"> </w:t>
      </w:r>
      <w:r>
        <w:rPr>
          <w:rFonts w:cs="David" w:hint="cs"/>
          <w:b/>
          <w:bCs/>
          <w:sz w:val="24"/>
          <w:szCs w:val="24"/>
          <w:u w:val="single"/>
          <w:rtl/>
        </w:rPr>
        <w:t>תמצית הערותינו</w:t>
      </w:r>
    </w:p>
    <w:p w14:paraId="76D0EBCA" w14:textId="0B4C9525" w:rsidR="0094605E" w:rsidRDefault="0094605E" w:rsidP="0094605E">
      <w:pPr>
        <w:pStyle w:val="ListParagraph"/>
        <w:numPr>
          <w:ilvl w:val="0"/>
          <w:numId w:val="2"/>
        </w:numPr>
        <w:contextualSpacing w:val="0"/>
        <w:jc w:val="both"/>
        <w:rPr>
          <w:rFonts w:cs="David"/>
          <w:sz w:val="24"/>
          <w:szCs w:val="24"/>
        </w:rPr>
      </w:pPr>
      <w:r>
        <w:rPr>
          <w:rFonts w:cs="David" w:hint="cs"/>
          <w:sz w:val="24"/>
          <w:szCs w:val="24"/>
          <w:rtl/>
        </w:rPr>
        <w:t xml:space="preserve">המפרט ארוך מדי ומסורבל. מדובר במפרט של 20 עמ' שנוגע רק לדרישות משרד הבריאות. המפרט המלא יכלול ככל הנראה קרוב ל-100 עמודים (!) באופן שיקשה מאוד על פתיחת בריכות שחייה והפעלתן, קל וחומר כחלק מבית מלון חדש. יש לפשט את המפרט ולהנגיש אותו כך שכל אדם מן היישוב החפץ לפתוח בריכת שחייה במלון </w:t>
      </w:r>
      <w:r>
        <w:rPr>
          <w:rFonts w:cs="David"/>
          <w:sz w:val="24"/>
          <w:szCs w:val="24"/>
          <w:rtl/>
        </w:rPr>
        <w:t>–</w:t>
      </w:r>
      <w:r>
        <w:rPr>
          <w:rFonts w:cs="David" w:hint="cs"/>
          <w:sz w:val="24"/>
          <w:szCs w:val="24"/>
          <w:rtl/>
        </w:rPr>
        <w:t xml:space="preserve"> יוכל לקרוא, להבין ולפעול תוך שמירה על החוק.</w:t>
      </w:r>
    </w:p>
    <w:p w14:paraId="47F28E2E" w14:textId="248DACDE" w:rsidR="0094605E" w:rsidRDefault="0094605E" w:rsidP="0094605E">
      <w:pPr>
        <w:pStyle w:val="ListParagraph"/>
        <w:numPr>
          <w:ilvl w:val="0"/>
          <w:numId w:val="2"/>
        </w:numPr>
        <w:contextualSpacing w:val="0"/>
        <w:jc w:val="both"/>
        <w:rPr>
          <w:rFonts w:cs="David"/>
          <w:sz w:val="24"/>
          <w:szCs w:val="24"/>
          <w:rtl/>
        </w:rPr>
      </w:pPr>
      <w:r>
        <w:rPr>
          <w:rFonts w:cs="David" w:hint="cs"/>
          <w:sz w:val="24"/>
          <w:szCs w:val="24"/>
          <w:rtl/>
        </w:rPr>
        <w:t>יש להשמיט מהמפרט את כל ההוראות הנוגעות לתפעול. לנו יש את מלא הידע כיצד להפעיל מלון. על הדרישות לציין מה דרישות הסף והערכים הנדרשים במדדים השונים על מנת לקבל ציון תקין אך בשום אופן לא לקבוע לנו כיצד להפעיל ולתפעל. בכל העולם הוראות הרגולציה נוגעות לערכים נדרשים ולא לתפעול עצמו, וכך צריך להיות גם בישראל. כך, לא צריך לדרוש את פינוי פחי האשפה לאחר שהגיעו לכ-80% מקיבולת המיכל.</w:t>
      </w:r>
    </w:p>
    <w:p w14:paraId="3F4566D5" w14:textId="77777777" w:rsidR="0094605E" w:rsidRDefault="0094605E" w:rsidP="0094605E">
      <w:pPr>
        <w:pStyle w:val="ListParagraph"/>
        <w:numPr>
          <w:ilvl w:val="0"/>
          <w:numId w:val="2"/>
        </w:numPr>
        <w:contextualSpacing w:val="0"/>
        <w:jc w:val="both"/>
        <w:rPr>
          <w:rFonts w:cs="David"/>
          <w:sz w:val="24"/>
          <w:szCs w:val="24"/>
        </w:rPr>
      </w:pPr>
      <w:r>
        <w:rPr>
          <w:rFonts w:cs="David" w:hint="cs"/>
          <w:sz w:val="24"/>
          <w:szCs w:val="24"/>
          <w:rtl/>
        </w:rPr>
        <w:t xml:space="preserve">אנו מבקשים להפריד את הדרישות וליצור הבחנה בין דרישות מעסק חדש, לבין דרישות מעסק קיים שקיבל טופס 4 וקיבל רישיון עסק. </w:t>
      </w:r>
    </w:p>
    <w:p w14:paraId="6486D756" w14:textId="5425CE43" w:rsidR="0094605E" w:rsidRDefault="0094605E" w:rsidP="0094605E">
      <w:pPr>
        <w:pStyle w:val="ListParagraph"/>
        <w:numPr>
          <w:ilvl w:val="0"/>
          <w:numId w:val="2"/>
        </w:numPr>
        <w:contextualSpacing w:val="0"/>
        <w:jc w:val="both"/>
        <w:rPr>
          <w:rFonts w:cs="David"/>
          <w:sz w:val="24"/>
          <w:szCs w:val="24"/>
        </w:rPr>
      </w:pPr>
      <w:r>
        <w:rPr>
          <w:rFonts w:cs="David" w:hint="cs"/>
          <w:sz w:val="24"/>
          <w:szCs w:val="24"/>
          <w:rtl/>
        </w:rPr>
        <w:t>מבקשים שלא יושתו דרישות בינוי / תשתיות חדשות על עסקים קיימים.</w:t>
      </w:r>
    </w:p>
    <w:p w14:paraId="23FFF5E8" w14:textId="558B170B" w:rsidR="0094605E" w:rsidRDefault="0094605E" w:rsidP="0094605E">
      <w:pPr>
        <w:pStyle w:val="ListParagraph"/>
        <w:numPr>
          <w:ilvl w:val="0"/>
          <w:numId w:val="2"/>
        </w:numPr>
        <w:contextualSpacing w:val="0"/>
        <w:jc w:val="both"/>
        <w:rPr>
          <w:rFonts w:cs="David"/>
          <w:sz w:val="24"/>
          <w:szCs w:val="24"/>
        </w:rPr>
      </w:pPr>
      <w:r>
        <w:rPr>
          <w:rFonts w:cs="David" w:hint="cs"/>
          <w:sz w:val="24"/>
          <w:szCs w:val="24"/>
          <w:rtl/>
        </w:rPr>
        <w:t xml:space="preserve">מבקשים שתיווצר הבחנה ושוני בדרישות בין בריכה במלון לבין בריכה בקאנטרי קלאב ובין בריכה במלון קטן לבריכה גדולה במלון גדול. לא ייתכן לדרוש ממלון בוטיק קטן בן 0 </w:t>
      </w:r>
      <w:r>
        <w:rPr>
          <w:rFonts w:cs="David"/>
          <w:sz w:val="24"/>
          <w:szCs w:val="24"/>
          <w:rtl/>
        </w:rPr>
        <w:t>–</w:t>
      </w:r>
      <w:r>
        <w:rPr>
          <w:rFonts w:cs="David" w:hint="cs"/>
          <w:sz w:val="24"/>
          <w:szCs w:val="24"/>
          <w:rtl/>
        </w:rPr>
        <w:t xml:space="preserve"> 50 חדרים אותן דרישות לגבי בריכות כמו ממלון ענק בן 600 </w:t>
      </w:r>
      <w:r>
        <w:rPr>
          <w:rFonts w:cs="David"/>
          <w:sz w:val="24"/>
          <w:szCs w:val="24"/>
          <w:rtl/>
        </w:rPr>
        <w:t>–</w:t>
      </w:r>
      <w:r>
        <w:rPr>
          <w:rFonts w:cs="David" w:hint="cs"/>
          <w:sz w:val="24"/>
          <w:szCs w:val="24"/>
          <w:rtl/>
        </w:rPr>
        <w:t xml:space="preserve"> 700 חדרים עם בריכה ענקית וגם רמות הסיכון הן שונות.</w:t>
      </w:r>
    </w:p>
    <w:p w14:paraId="2D897BD5" w14:textId="77777777" w:rsidR="0094605E" w:rsidRDefault="0094605E" w:rsidP="0094605E">
      <w:pPr>
        <w:pStyle w:val="ListParagraph"/>
        <w:numPr>
          <w:ilvl w:val="0"/>
          <w:numId w:val="2"/>
        </w:numPr>
        <w:contextualSpacing w:val="0"/>
        <w:jc w:val="both"/>
        <w:rPr>
          <w:rFonts w:cs="David"/>
          <w:sz w:val="24"/>
          <w:szCs w:val="24"/>
        </w:rPr>
      </w:pPr>
      <w:r>
        <w:rPr>
          <w:rFonts w:cs="David" w:hint="cs"/>
          <w:sz w:val="24"/>
          <w:szCs w:val="24"/>
          <w:rtl/>
        </w:rPr>
        <w:t>מבקשים לא להשית דרישות חדשות שלא נדרשו עד כה, ולא להשית דרישות חדשות שאינן נדרשות ממלונות במדינות מערביות מתוקנות ברות השוואה לישראל.</w:t>
      </w:r>
    </w:p>
    <w:p w14:paraId="0E6056D9" w14:textId="69BFC4D0" w:rsidR="0094605E" w:rsidRDefault="0094605E" w:rsidP="0094605E">
      <w:pPr>
        <w:pStyle w:val="ListParagraph"/>
        <w:numPr>
          <w:ilvl w:val="0"/>
          <w:numId w:val="2"/>
        </w:numPr>
        <w:contextualSpacing w:val="0"/>
        <w:jc w:val="both"/>
        <w:rPr>
          <w:rFonts w:cs="David"/>
          <w:sz w:val="24"/>
          <w:szCs w:val="24"/>
        </w:rPr>
      </w:pPr>
      <w:r>
        <w:rPr>
          <w:rFonts w:cs="David" w:hint="cs"/>
          <w:sz w:val="24"/>
          <w:szCs w:val="24"/>
          <w:rtl/>
        </w:rPr>
        <w:t xml:space="preserve">כל התייחסות לחוק, תקנה או ת"י שנכנסו לתוקף לאחר קבלת טופס אכלוס של העסק </w:t>
      </w:r>
      <w:r>
        <w:rPr>
          <w:rFonts w:cs="David"/>
          <w:sz w:val="24"/>
          <w:szCs w:val="24"/>
          <w:rtl/>
        </w:rPr>
        <w:t>–</w:t>
      </w:r>
      <w:r>
        <w:rPr>
          <w:rFonts w:cs="David" w:hint="cs"/>
          <w:sz w:val="24"/>
          <w:szCs w:val="24"/>
          <w:rtl/>
        </w:rPr>
        <w:t xml:space="preserve"> לא יחולו על העסק (אין דרישות למפרע).</w:t>
      </w:r>
    </w:p>
    <w:p w14:paraId="7CEE53FF" w14:textId="08A4A182" w:rsidR="00F00F64" w:rsidRDefault="00F00F64" w:rsidP="00F00F64">
      <w:pPr>
        <w:jc w:val="both"/>
        <w:rPr>
          <w:rFonts w:cs="David"/>
          <w:sz w:val="24"/>
          <w:szCs w:val="24"/>
          <w:rtl/>
        </w:rPr>
      </w:pPr>
    </w:p>
    <w:p w14:paraId="2ED4BA77" w14:textId="32023096" w:rsidR="00F00F64" w:rsidRDefault="00F00F64" w:rsidP="00F00F64">
      <w:pPr>
        <w:jc w:val="both"/>
        <w:rPr>
          <w:rFonts w:cs="David"/>
          <w:sz w:val="24"/>
          <w:szCs w:val="24"/>
          <w:rtl/>
        </w:rPr>
      </w:pPr>
    </w:p>
    <w:p w14:paraId="190EBDAA" w14:textId="658EEE0F" w:rsidR="00F00F64" w:rsidRDefault="00F00F64" w:rsidP="00F00F64">
      <w:pPr>
        <w:jc w:val="both"/>
        <w:rPr>
          <w:rFonts w:cs="David"/>
          <w:sz w:val="24"/>
          <w:szCs w:val="24"/>
          <w:rtl/>
        </w:rPr>
      </w:pPr>
    </w:p>
    <w:p w14:paraId="374FA458" w14:textId="77777777" w:rsidR="00F00F64" w:rsidRPr="00F00F64" w:rsidRDefault="00F00F64" w:rsidP="00F00F64">
      <w:pPr>
        <w:jc w:val="both"/>
        <w:rPr>
          <w:rFonts w:cs="David"/>
          <w:sz w:val="24"/>
          <w:szCs w:val="24"/>
        </w:rPr>
      </w:pPr>
    </w:p>
    <w:p w14:paraId="3BFB3AE5" w14:textId="75A59F31" w:rsidR="0094605E" w:rsidRDefault="0094605E" w:rsidP="0094605E">
      <w:pPr>
        <w:pStyle w:val="ListParagraph"/>
        <w:ind w:left="-58"/>
        <w:contextualSpacing w:val="0"/>
        <w:jc w:val="both"/>
        <w:rPr>
          <w:rFonts w:cs="David"/>
          <w:b/>
          <w:bCs/>
          <w:sz w:val="24"/>
          <w:szCs w:val="24"/>
          <w:u w:val="single"/>
          <w:rtl/>
        </w:rPr>
      </w:pPr>
      <w:r>
        <w:rPr>
          <w:rFonts w:cs="David" w:hint="cs"/>
          <w:b/>
          <w:bCs/>
          <w:sz w:val="24"/>
          <w:szCs w:val="24"/>
          <w:u w:val="single"/>
          <w:rtl/>
        </w:rPr>
        <w:lastRenderedPageBreak/>
        <w:t>קידום רגולציה השומרת על הוודאות העסקית</w:t>
      </w:r>
    </w:p>
    <w:p w14:paraId="300F39BC" w14:textId="77777777" w:rsidR="0094605E" w:rsidRPr="00CA6641" w:rsidRDefault="0094605E" w:rsidP="0094605E">
      <w:pPr>
        <w:pStyle w:val="ListParagraph"/>
        <w:ind w:left="-58"/>
        <w:contextualSpacing w:val="0"/>
        <w:jc w:val="both"/>
        <w:rPr>
          <w:rFonts w:cs="David"/>
          <w:b/>
          <w:bCs/>
          <w:sz w:val="24"/>
          <w:szCs w:val="24"/>
          <w:u w:val="single"/>
          <w:rtl/>
        </w:rPr>
      </w:pPr>
      <w:r w:rsidRPr="00CA6641">
        <w:rPr>
          <w:rFonts w:cs="David" w:hint="cs"/>
          <w:sz w:val="24"/>
          <w:szCs w:val="24"/>
          <w:rtl/>
        </w:rPr>
        <w:t>נבקש</w:t>
      </w:r>
      <w:r w:rsidRPr="00CA6641">
        <w:rPr>
          <w:rFonts w:cs="David" w:hint="cs"/>
          <w:b/>
          <w:bCs/>
          <w:sz w:val="24"/>
          <w:szCs w:val="24"/>
          <w:rtl/>
        </w:rPr>
        <w:t xml:space="preserve"> להפריד בין דרישות חדשות מעסק חדש</w:t>
      </w:r>
      <w:r w:rsidRPr="00CA6641">
        <w:rPr>
          <w:rFonts w:cs="David" w:hint="cs"/>
          <w:sz w:val="24"/>
          <w:szCs w:val="24"/>
          <w:rtl/>
        </w:rPr>
        <w:t>,</w:t>
      </w:r>
      <w:r w:rsidRPr="00CA6641">
        <w:rPr>
          <w:rFonts w:cs="David" w:hint="cs"/>
          <w:b/>
          <w:bCs/>
          <w:sz w:val="24"/>
          <w:szCs w:val="24"/>
          <w:rtl/>
        </w:rPr>
        <w:t xml:space="preserve"> לבין השתת הדרישות על עסקים קיימים</w:t>
      </w:r>
      <w:r w:rsidRPr="00CA6641">
        <w:rPr>
          <w:rFonts w:cs="David" w:hint="cs"/>
          <w:sz w:val="24"/>
          <w:szCs w:val="24"/>
          <w:rtl/>
        </w:rPr>
        <w:t xml:space="preserve">, באופן הפוגע בעקרון ההסתמכות של העסק, בחופש העיסוק, הקניין ובוודאות העסקית, ונבקש לפעול כנהוג בחו"ל, </w:t>
      </w:r>
      <w:r w:rsidRPr="00CA6641">
        <w:rPr>
          <w:rFonts w:cs="David" w:hint="cs"/>
          <w:b/>
          <w:bCs/>
          <w:sz w:val="24"/>
          <w:szCs w:val="24"/>
          <w:rtl/>
        </w:rPr>
        <w:t>שם לא משיתים</w:t>
      </w:r>
      <w:r w:rsidRPr="00CA6641">
        <w:rPr>
          <w:rFonts w:cs="David" w:hint="cs"/>
          <w:sz w:val="24"/>
          <w:szCs w:val="24"/>
          <w:rtl/>
        </w:rPr>
        <w:t xml:space="preserve"> דרישות חדשות על עסקים קיימים אלא כחריג שבחריגים</w:t>
      </w:r>
      <w:r>
        <w:rPr>
          <w:rStyle w:val="FootnoteReference"/>
          <w:rFonts w:cs="David"/>
          <w:sz w:val="24"/>
          <w:szCs w:val="24"/>
          <w:rtl/>
        </w:rPr>
        <w:footnoteReference w:id="1"/>
      </w:r>
      <w:r w:rsidRPr="00CA6641">
        <w:rPr>
          <w:rFonts w:cs="David" w:hint="cs"/>
          <w:sz w:val="24"/>
          <w:szCs w:val="24"/>
          <w:vertAlign w:val="superscript"/>
          <w:rtl/>
        </w:rPr>
        <w:t>,</w:t>
      </w:r>
      <w:r>
        <w:rPr>
          <w:rStyle w:val="FootnoteReference"/>
          <w:rFonts w:cs="David"/>
          <w:sz w:val="24"/>
          <w:szCs w:val="24"/>
          <w:rtl/>
        </w:rPr>
        <w:footnoteReference w:id="2"/>
      </w:r>
      <w:r w:rsidRPr="00CA6641">
        <w:rPr>
          <w:rFonts w:cs="David" w:hint="cs"/>
          <w:sz w:val="24"/>
          <w:szCs w:val="24"/>
          <w:vertAlign w:val="superscript"/>
          <w:rtl/>
        </w:rPr>
        <w:t>,</w:t>
      </w:r>
      <w:r>
        <w:rPr>
          <w:rStyle w:val="FootnoteReference"/>
          <w:rFonts w:cs="David"/>
          <w:sz w:val="24"/>
          <w:szCs w:val="24"/>
          <w:rtl/>
        </w:rPr>
        <w:footnoteReference w:id="3"/>
      </w:r>
      <w:r w:rsidRPr="00CA6641">
        <w:rPr>
          <w:rFonts w:cs="David" w:hint="cs"/>
          <w:sz w:val="24"/>
          <w:szCs w:val="24"/>
          <w:vertAlign w:val="superscript"/>
          <w:rtl/>
        </w:rPr>
        <w:t>,</w:t>
      </w:r>
      <w:r>
        <w:rPr>
          <w:rStyle w:val="FootnoteReference"/>
          <w:rFonts w:cs="David"/>
          <w:sz w:val="24"/>
          <w:szCs w:val="24"/>
          <w:rtl/>
        </w:rPr>
        <w:footnoteReference w:id="4"/>
      </w:r>
      <w:r w:rsidRPr="00CA6641">
        <w:rPr>
          <w:rFonts w:cs="David" w:hint="cs"/>
          <w:sz w:val="24"/>
          <w:szCs w:val="24"/>
          <w:vertAlign w:val="superscript"/>
          <w:rtl/>
        </w:rPr>
        <w:t>,</w:t>
      </w:r>
      <w:r>
        <w:rPr>
          <w:rStyle w:val="FootnoteReference"/>
          <w:rFonts w:cs="David"/>
          <w:sz w:val="24"/>
          <w:szCs w:val="24"/>
          <w:rtl/>
        </w:rPr>
        <w:footnoteReference w:id="5"/>
      </w:r>
      <w:r w:rsidRPr="00CA6641">
        <w:rPr>
          <w:rFonts w:cs="David" w:hint="cs"/>
          <w:sz w:val="24"/>
          <w:szCs w:val="24"/>
          <w:rtl/>
        </w:rPr>
        <w:t>.</w:t>
      </w:r>
    </w:p>
    <w:p w14:paraId="5326B345" w14:textId="77777777" w:rsidR="0094605E" w:rsidRDefault="0094605E" w:rsidP="0094605E">
      <w:pPr>
        <w:pStyle w:val="ListParagraph"/>
        <w:ind w:left="-58"/>
        <w:contextualSpacing w:val="0"/>
        <w:jc w:val="both"/>
        <w:rPr>
          <w:rFonts w:cs="David"/>
          <w:sz w:val="24"/>
          <w:szCs w:val="24"/>
          <w:rtl/>
        </w:rPr>
      </w:pPr>
      <w:r>
        <w:rPr>
          <w:rFonts w:cs="David" w:hint="cs"/>
          <w:sz w:val="24"/>
          <w:szCs w:val="24"/>
          <w:rtl/>
        </w:rPr>
        <w:t>נכון למועד כתיבת שורות אלה, חברת הייעוץ ששכרנו טרם הספיקה להעביר לידינו השוואה בינ"ל לגבי ההערות שיצוינו במסמך זה להלן, ועל כן, נודה אם תואילו לקבל בעוד כמה ימים את ההשוואה לכשתהיה מוכנה.</w:t>
      </w:r>
    </w:p>
    <w:p w14:paraId="0EB82CF8" w14:textId="77777777" w:rsidR="0094605E" w:rsidRPr="007A5436" w:rsidRDefault="0094605E" w:rsidP="0094605E">
      <w:pPr>
        <w:pStyle w:val="ListParagraph"/>
        <w:ind w:left="-58"/>
        <w:jc w:val="both"/>
        <w:rPr>
          <w:rFonts w:cs="David"/>
          <w:sz w:val="28"/>
          <w:szCs w:val="28"/>
          <w:rtl/>
        </w:rPr>
      </w:pPr>
      <w:r w:rsidRPr="007A5436">
        <w:rPr>
          <w:rFonts w:cs="David" w:hint="cs"/>
          <w:b/>
          <w:bCs/>
          <w:sz w:val="28"/>
          <w:szCs w:val="28"/>
          <w:u w:val="single"/>
          <w:rtl/>
        </w:rPr>
        <w:t>הערות לגופם של סעיפי המפרט</w:t>
      </w:r>
    </w:p>
    <w:p w14:paraId="4AA1E3D6" w14:textId="77777777" w:rsidR="0094605E" w:rsidRDefault="0094605E" w:rsidP="0094605E">
      <w:pPr>
        <w:pStyle w:val="ListParagraph"/>
        <w:ind w:left="-58"/>
        <w:jc w:val="both"/>
        <w:rPr>
          <w:rFonts w:cs="David"/>
          <w:sz w:val="24"/>
          <w:szCs w:val="24"/>
          <w:rtl/>
        </w:rPr>
      </w:pPr>
    </w:p>
    <w:p w14:paraId="3FAE55FE" w14:textId="77777777" w:rsidR="0094605E" w:rsidRDefault="0094605E" w:rsidP="0094605E">
      <w:pPr>
        <w:pStyle w:val="ListParagraph"/>
        <w:ind w:left="-58"/>
        <w:contextualSpacing w:val="0"/>
        <w:jc w:val="both"/>
        <w:rPr>
          <w:rFonts w:cs="David"/>
          <w:sz w:val="24"/>
          <w:szCs w:val="24"/>
          <w:rtl/>
        </w:rPr>
      </w:pPr>
      <w:r>
        <w:rPr>
          <w:rFonts w:cs="David" w:hint="cs"/>
          <w:sz w:val="24"/>
          <w:szCs w:val="24"/>
          <w:rtl/>
        </w:rPr>
        <w:t>להלן הערותינו לגופם של סעיפי המפרט, בהתבסס על הערות אנשי מקצוע ומלונאים בתחום, על פי סדר סעיפי טיוטת המפרט האחיד. הערות אלה מתווספות להערתנו הראשונה, והיא - כי דרישה שאיננה נדרשת בגרמניה ובפלורידה, לא צריכה להידרש גם בישראל:</w:t>
      </w:r>
    </w:p>
    <w:p w14:paraId="1E25D588" w14:textId="24293804" w:rsidR="0094605E" w:rsidRDefault="0094605E" w:rsidP="0094605E">
      <w:pPr>
        <w:pStyle w:val="ListParagraph"/>
        <w:numPr>
          <w:ilvl w:val="0"/>
          <w:numId w:val="1"/>
        </w:numPr>
        <w:ind w:left="509"/>
        <w:contextualSpacing w:val="0"/>
        <w:jc w:val="both"/>
        <w:rPr>
          <w:rFonts w:cs="David"/>
          <w:sz w:val="24"/>
          <w:szCs w:val="24"/>
        </w:rPr>
      </w:pPr>
      <w:r>
        <w:rPr>
          <w:rFonts w:cs="David" w:hint="cs"/>
          <w:sz w:val="24"/>
          <w:szCs w:val="24"/>
          <w:rtl/>
        </w:rPr>
        <w:t xml:space="preserve"> 4.9.1 </w:t>
      </w:r>
      <w:r>
        <w:rPr>
          <w:rFonts w:cs="David"/>
          <w:sz w:val="24"/>
          <w:szCs w:val="24"/>
          <w:rtl/>
        </w:rPr>
        <w:t>–</w:t>
      </w:r>
      <w:r>
        <w:rPr>
          <w:rFonts w:cs="David" w:hint="cs"/>
          <w:sz w:val="24"/>
          <w:szCs w:val="24"/>
          <w:rtl/>
        </w:rPr>
        <w:t xml:space="preserve"> פסולת </w:t>
      </w:r>
      <w:r>
        <w:rPr>
          <w:rFonts w:cs="David"/>
          <w:sz w:val="24"/>
          <w:szCs w:val="24"/>
          <w:rtl/>
        </w:rPr>
        <w:t>–</w:t>
      </w:r>
      <w:r>
        <w:rPr>
          <w:rFonts w:cs="David" w:hint="cs"/>
          <w:sz w:val="24"/>
          <w:szCs w:val="24"/>
          <w:rtl/>
        </w:rPr>
        <w:t xml:space="preserve"> הדרישה לריקון פחי אשפה כשיגיעו ל80%</w:t>
      </w:r>
      <w:r>
        <w:rPr>
          <w:rFonts w:cs="David" w:hint="cs"/>
          <w:sz w:val="24"/>
          <w:szCs w:val="24"/>
        </w:rPr>
        <w:t xml:space="preserve"> </w:t>
      </w:r>
      <w:r>
        <w:rPr>
          <w:rFonts w:cs="David" w:hint="cs"/>
          <w:sz w:val="24"/>
          <w:szCs w:val="24"/>
          <w:rtl/>
        </w:rPr>
        <w:t xml:space="preserve">קיבולת היא מיותרת ונוגעת לתפעול. יש לקבוע כי הפחים יפונו וזהו. בלי להתערב מתי איך כמה וכו'. </w:t>
      </w:r>
    </w:p>
    <w:p w14:paraId="5C56C825" w14:textId="7E9439AC" w:rsidR="0094605E" w:rsidRDefault="0094605E" w:rsidP="0094605E">
      <w:pPr>
        <w:pStyle w:val="ListParagraph"/>
        <w:numPr>
          <w:ilvl w:val="0"/>
          <w:numId w:val="1"/>
        </w:numPr>
        <w:ind w:left="509"/>
        <w:contextualSpacing w:val="0"/>
        <w:jc w:val="both"/>
        <w:rPr>
          <w:rFonts w:cs="David"/>
          <w:sz w:val="24"/>
          <w:szCs w:val="24"/>
        </w:rPr>
      </w:pPr>
      <w:r>
        <w:rPr>
          <w:rFonts w:cs="David" w:hint="cs"/>
          <w:sz w:val="24"/>
          <w:szCs w:val="24"/>
          <w:rtl/>
        </w:rPr>
        <w:t xml:space="preserve">4.9.2 </w:t>
      </w:r>
      <w:r>
        <w:rPr>
          <w:rFonts w:cs="David"/>
          <w:sz w:val="24"/>
          <w:szCs w:val="24"/>
          <w:rtl/>
        </w:rPr>
        <w:t>–</w:t>
      </w:r>
      <w:r>
        <w:rPr>
          <w:rFonts w:cs="David" w:hint="cs"/>
          <w:sz w:val="24"/>
          <w:szCs w:val="24"/>
          <w:rtl/>
        </w:rPr>
        <w:t xml:space="preserve"> סילוק פסולת לפי תקנות משנת 2019 </w:t>
      </w:r>
      <w:r>
        <w:rPr>
          <w:rFonts w:cs="David"/>
          <w:sz w:val="24"/>
          <w:szCs w:val="24"/>
          <w:rtl/>
        </w:rPr>
        <w:t>–</w:t>
      </w:r>
      <w:r>
        <w:rPr>
          <w:rFonts w:cs="David" w:hint="cs"/>
          <w:sz w:val="24"/>
          <w:szCs w:val="24"/>
          <w:rtl/>
        </w:rPr>
        <w:t xml:space="preserve"> דורשים שלא יחול על עסקים קיימים, אלא רק צופה פנה עתיד שכן מדובר בתכן בנייה.</w:t>
      </w:r>
      <w:r w:rsidR="0004357D">
        <w:rPr>
          <w:rFonts w:cs="David" w:hint="cs"/>
          <w:sz w:val="24"/>
          <w:szCs w:val="24"/>
          <w:rtl/>
        </w:rPr>
        <w:t xml:space="preserve"> </w:t>
      </w:r>
    </w:p>
    <w:p w14:paraId="29EE9ABD" w14:textId="3FCD51D7" w:rsidR="0094605E" w:rsidRPr="0004357D" w:rsidRDefault="0004357D" w:rsidP="0094605E">
      <w:pPr>
        <w:pStyle w:val="ListParagraph"/>
        <w:numPr>
          <w:ilvl w:val="0"/>
          <w:numId w:val="1"/>
        </w:numPr>
        <w:ind w:left="509"/>
        <w:contextualSpacing w:val="0"/>
        <w:jc w:val="both"/>
        <w:rPr>
          <w:rFonts w:cs="David"/>
          <w:sz w:val="24"/>
          <w:szCs w:val="24"/>
        </w:rPr>
      </w:pPr>
      <w:r w:rsidRPr="0004357D">
        <w:rPr>
          <w:rFonts w:cs="David" w:hint="cs"/>
          <w:sz w:val="24"/>
          <w:szCs w:val="24"/>
          <w:rtl/>
        </w:rPr>
        <w:t xml:space="preserve"> </w:t>
      </w:r>
      <w:r>
        <w:rPr>
          <w:rFonts w:cs="David" w:hint="cs"/>
          <w:sz w:val="24"/>
          <w:szCs w:val="24"/>
          <w:rtl/>
        </w:rPr>
        <w:t xml:space="preserve">4.9.3 </w:t>
      </w:r>
      <w:r w:rsidR="0094605E" w:rsidRPr="0004357D">
        <w:rPr>
          <w:rFonts w:cs="David"/>
          <w:sz w:val="24"/>
          <w:szCs w:val="24"/>
          <w:rtl/>
        </w:rPr>
        <w:t>–</w:t>
      </w:r>
      <w:r w:rsidR="0094605E" w:rsidRPr="0004357D">
        <w:rPr>
          <w:rFonts w:cs="David" w:hint="cs"/>
          <w:sz w:val="24"/>
          <w:szCs w:val="24"/>
          <w:rtl/>
        </w:rPr>
        <w:t xml:space="preserve"> דרישה למיון פסולת בעסק </w:t>
      </w:r>
      <w:r w:rsidR="0094605E" w:rsidRPr="0004357D">
        <w:rPr>
          <w:rFonts w:cs="David"/>
          <w:sz w:val="24"/>
          <w:szCs w:val="24"/>
          <w:rtl/>
        </w:rPr>
        <w:t>–</w:t>
      </w:r>
      <w:r w:rsidR="0094605E" w:rsidRPr="0004357D">
        <w:rPr>
          <w:rFonts w:cs="David" w:hint="cs"/>
          <w:sz w:val="24"/>
          <w:szCs w:val="24"/>
          <w:rtl/>
        </w:rPr>
        <w:t xml:space="preserve"> הדרישה לא ברורה ולא תקינה. אין זה המקום להכניס חקיקת מחזור ויש מספיק חוקים שעוסקים בנושא. מבקשים למחוק.</w:t>
      </w:r>
    </w:p>
    <w:p w14:paraId="48E986A3" w14:textId="67B019F8" w:rsidR="0004357D" w:rsidRDefault="0004357D" w:rsidP="0094605E">
      <w:pPr>
        <w:pStyle w:val="ListParagraph"/>
        <w:numPr>
          <w:ilvl w:val="0"/>
          <w:numId w:val="1"/>
        </w:numPr>
        <w:ind w:left="509"/>
        <w:contextualSpacing w:val="0"/>
        <w:jc w:val="both"/>
        <w:rPr>
          <w:rFonts w:cs="David"/>
          <w:sz w:val="24"/>
          <w:szCs w:val="24"/>
        </w:rPr>
      </w:pPr>
      <w:r>
        <w:rPr>
          <w:rFonts w:cs="David" w:hint="cs"/>
          <w:sz w:val="24"/>
          <w:szCs w:val="24"/>
          <w:rtl/>
        </w:rPr>
        <w:t xml:space="preserve">4.11 </w:t>
      </w:r>
      <w:r>
        <w:rPr>
          <w:rFonts w:cs="David"/>
          <w:sz w:val="24"/>
          <w:szCs w:val="24"/>
          <w:rtl/>
        </w:rPr>
        <w:t>–</w:t>
      </w:r>
      <w:r>
        <w:rPr>
          <w:rFonts w:cs="David" w:hint="cs"/>
          <w:sz w:val="24"/>
          <w:szCs w:val="24"/>
          <w:rtl/>
        </w:rPr>
        <w:t xml:space="preserve"> הצללה </w:t>
      </w:r>
      <w:r>
        <w:rPr>
          <w:rFonts w:cs="David"/>
          <w:sz w:val="24"/>
          <w:szCs w:val="24"/>
          <w:rtl/>
        </w:rPr>
        <w:t>–</w:t>
      </w:r>
      <w:r>
        <w:rPr>
          <w:rFonts w:cs="David" w:hint="cs"/>
          <w:sz w:val="24"/>
          <w:szCs w:val="24"/>
          <w:rtl/>
        </w:rPr>
        <w:t xml:space="preserve"> תתקיים רק בבריכות פעוטות חדשות וקיימות ורק בבריכות שחייה חדשות שנבנו לאחר שנת 2008.</w:t>
      </w:r>
    </w:p>
    <w:p w14:paraId="69E13CF9" w14:textId="3FC38931" w:rsidR="0004357D" w:rsidRDefault="006C13B6" w:rsidP="0094605E">
      <w:pPr>
        <w:pStyle w:val="ListParagraph"/>
        <w:numPr>
          <w:ilvl w:val="0"/>
          <w:numId w:val="1"/>
        </w:numPr>
        <w:ind w:left="509"/>
        <w:contextualSpacing w:val="0"/>
        <w:jc w:val="both"/>
        <w:rPr>
          <w:rFonts w:cs="David"/>
          <w:sz w:val="24"/>
          <w:szCs w:val="24"/>
        </w:rPr>
      </w:pPr>
      <w:r>
        <w:rPr>
          <w:rFonts w:cs="David" w:hint="cs"/>
          <w:sz w:val="24"/>
          <w:szCs w:val="24"/>
          <w:rtl/>
        </w:rPr>
        <w:t xml:space="preserve">4.12.3 </w:t>
      </w:r>
      <w:r>
        <w:rPr>
          <w:rFonts w:cs="David"/>
          <w:sz w:val="24"/>
          <w:szCs w:val="24"/>
          <w:rtl/>
        </w:rPr>
        <w:t>–</w:t>
      </w:r>
      <w:r>
        <w:rPr>
          <w:rFonts w:cs="David" w:hint="cs"/>
          <w:sz w:val="24"/>
          <w:szCs w:val="24"/>
          <w:rtl/>
        </w:rPr>
        <w:t xml:space="preserve"> אוורור בריכות מקורות עם אוויר צח </w:t>
      </w:r>
      <w:r>
        <w:rPr>
          <w:rFonts w:cs="David"/>
          <w:sz w:val="24"/>
          <w:szCs w:val="24"/>
          <w:rtl/>
        </w:rPr>
        <w:t>–</w:t>
      </w:r>
      <w:r>
        <w:rPr>
          <w:rFonts w:cs="David" w:hint="cs"/>
          <w:sz w:val="24"/>
          <w:szCs w:val="24"/>
          <w:rtl/>
        </w:rPr>
        <w:t xml:space="preserve"> לא תמיד ישים בחורף כאשר קר בחוץ וגם הדרישה ל30% אוויר צח כשיש סיחרור הינה מסובכת. מבקשים להיצמד לנהלים באירופה וארה"ב בנושא זה.</w:t>
      </w:r>
    </w:p>
    <w:p w14:paraId="4B72E75B" w14:textId="38FF19C9" w:rsidR="006C13B6" w:rsidRDefault="007738BF" w:rsidP="0094605E">
      <w:pPr>
        <w:pStyle w:val="ListParagraph"/>
        <w:numPr>
          <w:ilvl w:val="0"/>
          <w:numId w:val="1"/>
        </w:numPr>
        <w:ind w:left="509"/>
        <w:contextualSpacing w:val="0"/>
        <w:jc w:val="both"/>
        <w:rPr>
          <w:rFonts w:cs="David"/>
          <w:sz w:val="24"/>
          <w:szCs w:val="24"/>
        </w:rPr>
      </w:pPr>
      <w:r>
        <w:rPr>
          <w:rFonts w:cs="David" w:hint="cs"/>
          <w:sz w:val="24"/>
          <w:szCs w:val="24"/>
          <w:rtl/>
        </w:rPr>
        <w:t xml:space="preserve">4.12.9 </w:t>
      </w:r>
      <w:r>
        <w:rPr>
          <w:rFonts w:cs="David"/>
          <w:sz w:val="24"/>
          <w:szCs w:val="24"/>
          <w:rtl/>
        </w:rPr>
        <w:t>–</w:t>
      </w:r>
      <w:r>
        <w:rPr>
          <w:rFonts w:cs="David" w:hint="cs"/>
          <w:sz w:val="24"/>
          <w:szCs w:val="24"/>
          <w:rtl/>
        </w:rPr>
        <w:t xml:space="preserve"> שמירה על לחץ אוויר שלילי בחלל הבריכה </w:t>
      </w:r>
      <w:r>
        <w:rPr>
          <w:rFonts w:cs="David"/>
          <w:sz w:val="24"/>
          <w:szCs w:val="24"/>
          <w:rtl/>
        </w:rPr>
        <w:t>–</w:t>
      </w:r>
      <w:r>
        <w:rPr>
          <w:rFonts w:cs="David" w:hint="cs"/>
          <w:sz w:val="24"/>
          <w:szCs w:val="24"/>
          <w:rtl/>
        </w:rPr>
        <w:t xml:space="preserve"> מתנגדים. הדבר גורם לאוויר קר להיכנס לבריכה בחורף. מבקשים גם כאן להיצמד לדרישות ותקנים אירופאים ואמריקאים בנושא.</w:t>
      </w:r>
    </w:p>
    <w:p w14:paraId="190ADECA" w14:textId="191A4B97" w:rsidR="007738BF" w:rsidRDefault="0045692B" w:rsidP="0094605E">
      <w:pPr>
        <w:pStyle w:val="ListParagraph"/>
        <w:numPr>
          <w:ilvl w:val="0"/>
          <w:numId w:val="1"/>
        </w:numPr>
        <w:ind w:left="509"/>
        <w:contextualSpacing w:val="0"/>
        <w:jc w:val="both"/>
        <w:rPr>
          <w:rFonts w:cs="David"/>
          <w:sz w:val="24"/>
          <w:szCs w:val="24"/>
        </w:rPr>
      </w:pPr>
      <w:r>
        <w:rPr>
          <w:rFonts w:cs="David" w:hint="cs"/>
          <w:sz w:val="24"/>
          <w:szCs w:val="24"/>
          <w:rtl/>
        </w:rPr>
        <w:lastRenderedPageBreak/>
        <w:t xml:space="preserve">4.15.1 (2) - החתלת תינוקות רק בחדרי שירות המיועדים לכך </w:t>
      </w:r>
      <w:r>
        <w:rPr>
          <w:rFonts w:cs="David"/>
          <w:sz w:val="24"/>
          <w:szCs w:val="24"/>
          <w:rtl/>
        </w:rPr>
        <w:t>–</w:t>
      </w:r>
      <w:r>
        <w:rPr>
          <w:rFonts w:cs="David" w:hint="cs"/>
          <w:sz w:val="24"/>
          <w:szCs w:val="24"/>
          <w:rtl/>
        </w:rPr>
        <w:t xml:space="preserve"> עם כל הכבוד, מדובר בהתערבות בתפעול ובשירות. אם יש הורים שרוצים לחתל את ילדם מחוץ לבריכה על כיסא עם מגבת על המלון והבריכה לאסור זאת? יש כאן ירידה לפרטים והתערבות שאיננה מעניינו של משרד הבריאות. יכלו להסתפק בלכתוב "טוב אם ההחתלה תתבצע בחדר המיועד לכך" ותו לאו.</w:t>
      </w:r>
    </w:p>
    <w:p w14:paraId="3E59CE67" w14:textId="77777777" w:rsidR="00DE257C" w:rsidRDefault="0004357D" w:rsidP="0094605E">
      <w:pPr>
        <w:pStyle w:val="ListParagraph"/>
        <w:numPr>
          <w:ilvl w:val="0"/>
          <w:numId w:val="1"/>
        </w:numPr>
        <w:ind w:left="509"/>
        <w:contextualSpacing w:val="0"/>
        <w:jc w:val="both"/>
        <w:rPr>
          <w:rFonts w:cs="David"/>
          <w:sz w:val="24"/>
          <w:szCs w:val="24"/>
        </w:rPr>
      </w:pPr>
      <w:r>
        <w:rPr>
          <w:rFonts w:cs="David" w:hint="cs"/>
          <w:sz w:val="24"/>
          <w:szCs w:val="24"/>
          <w:rtl/>
        </w:rPr>
        <w:t xml:space="preserve"> </w:t>
      </w:r>
      <w:r w:rsidR="00DE257C">
        <w:rPr>
          <w:rFonts w:cs="David" w:hint="cs"/>
          <w:sz w:val="24"/>
          <w:szCs w:val="24"/>
          <w:rtl/>
        </w:rPr>
        <w:t xml:space="preserve">4.18.3 </w:t>
      </w:r>
      <w:r w:rsidR="00DE257C">
        <w:rPr>
          <w:rFonts w:cs="David"/>
          <w:sz w:val="24"/>
          <w:szCs w:val="24"/>
          <w:rtl/>
        </w:rPr>
        <w:t>–</w:t>
      </w:r>
      <w:r w:rsidR="00DE257C">
        <w:rPr>
          <w:rFonts w:cs="David" w:hint="cs"/>
          <w:sz w:val="24"/>
          <w:szCs w:val="24"/>
          <w:rtl/>
        </w:rPr>
        <w:t xml:space="preserve"> החמרה בדרישות סחרור המים בבריכות הקיימות (מתן 18 חודשי התארגנות) </w:t>
      </w:r>
      <w:r w:rsidR="00DE257C">
        <w:rPr>
          <w:rFonts w:cs="David"/>
          <w:sz w:val="24"/>
          <w:szCs w:val="24"/>
          <w:rtl/>
        </w:rPr>
        <w:t>–</w:t>
      </w:r>
      <w:r w:rsidR="00DE257C">
        <w:rPr>
          <w:rFonts w:cs="David" w:hint="cs"/>
          <w:sz w:val="24"/>
          <w:szCs w:val="24"/>
          <w:rtl/>
        </w:rPr>
        <w:t xml:space="preserve"> חוק רישוי עסקים קובע כי כל דרישה חדשה המושתת על עסק חדש תיכנס לתוקף לאחר 3 שנים. נבקש כי גם כאן יוארך משך מן ההתארגנות להגדלת סחרור / מחוזר המים בבריכות קיימות לכדי 3 שנות התארגנות, בעיקר עתה לאחר משבר הקורונה ומשבר מבצע 'מגן חומות'.</w:t>
      </w:r>
    </w:p>
    <w:p w14:paraId="71F09A0B" w14:textId="63F00326" w:rsidR="0004357D" w:rsidRDefault="00DA1B40" w:rsidP="00DA1B40">
      <w:pPr>
        <w:pStyle w:val="ListParagraph"/>
        <w:ind w:left="509"/>
        <w:contextualSpacing w:val="0"/>
        <w:jc w:val="both"/>
        <w:rPr>
          <w:rFonts w:cs="David"/>
          <w:sz w:val="24"/>
          <w:szCs w:val="24"/>
          <w:rtl/>
        </w:rPr>
      </w:pPr>
      <w:r>
        <w:rPr>
          <w:rFonts w:cs="David" w:hint="cs"/>
          <w:sz w:val="24"/>
          <w:szCs w:val="24"/>
          <w:rtl/>
        </w:rPr>
        <w:t xml:space="preserve">בעניין זה </w:t>
      </w:r>
      <w:r>
        <w:rPr>
          <w:rFonts w:cs="David"/>
          <w:sz w:val="24"/>
          <w:szCs w:val="24"/>
          <w:rtl/>
        </w:rPr>
        <w:t>–</w:t>
      </w:r>
      <w:r>
        <w:rPr>
          <w:rFonts w:cs="David" w:hint="cs"/>
          <w:sz w:val="24"/>
          <w:szCs w:val="24"/>
          <w:rtl/>
        </w:rPr>
        <w:t xml:space="preserve"> מחזור וסחרור המים </w:t>
      </w:r>
      <w:r>
        <w:rPr>
          <w:rFonts w:cs="David"/>
          <w:sz w:val="24"/>
          <w:szCs w:val="24"/>
          <w:rtl/>
        </w:rPr>
        <w:t>–</w:t>
      </w:r>
      <w:r>
        <w:rPr>
          <w:rFonts w:cs="David" w:hint="cs"/>
          <w:sz w:val="24"/>
          <w:szCs w:val="24"/>
          <w:rtl/>
        </w:rPr>
        <w:t xml:space="preserve"> מאחר ויש לכך משמעות כלכלית לא מבוטלת מבחנת צריכת חשמל והחלפת מתקני הבריכה, נבקש כי במידה ויימצא</w:t>
      </w:r>
      <w:r w:rsidR="00C0155F">
        <w:rPr>
          <w:rFonts w:cs="David" w:hint="cs"/>
          <w:sz w:val="24"/>
          <w:szCs w:val="24"/>
          <w:rtl/>
        </w:rPr>
        <w:t xml:space="preserve"> </w:t>
      </w:r>
      <w:r>
        <w:rPr>
          <w:rFonts w:cs="David" w:hint="cs"/>
          <w:sz w:val="24"/>
          <w:szCs w:val="24"/>
          <w:rtl/>
        </w:rPr>
        <w:t xml:space="preserve">כי בגרמניה או ארה"ב (פלורידה) ישנן דרישות מחמירות פחות בנושא זה </w:t>
      </w:r>
      <w:r>
        <w:rPr>
          <w:rFonts w:cs="David"/>
          <w:sz w:val="24"/>
          <w:szCs w:val="24"/>
          <w:rtl/>
        </w:rPr>
        <w:t>–</w:t>
      </w:r>
      <w:r>
        <w:rPr>
          <w:rFonts w:cs="David" w:hint="cs"/>
          <w:sz w:val="24"/>
          <w:szCs w:val="24"/>
          <w:rtl/>
        </w:rPr>
        <w:t xml:space="preserve"> כי הדרישות הזרות יאומצו ולא הישראליות המחמירות.</w:t>
      </w:r>
    </w:p>
    <w:p w14:paraId="125BFC28" w14:textId="6C7CFEDC" w:rsidR="0094605E" w:rsidRPr="001E5ABB" w:rsidRDefault="00AB20FB" w:rsidP="0094605E">
      <w:pPr>
        <w:pStyle w:val="ListParagraph"/>
        <w:numPr>
          <w:ilvl w:val="0"/>
          <w:numId w:val="1"/>
        </w:numPr>
        <w:ind w:left="509"/>
        <w:contextualSpacing w:val="0"/>
        <w:jc w:val="both"/>
        <w:rPr>
          <w:rFonts w:cs="David"/>
          <w:sz w:val="24"/>
          <w:szCs w:val="24"/>
        </w:rPr>
      </w:pPr>
      <w:r w:rsidRPr="001E5ABB">
        <w:rPr>
          <w:rFonts w:cs="David" w:hint="cs"/>
          <w:sz w:val="24"/>
          <w:szCs w:val="24"/>
          <w:rtl/>
        </w:rPr>
        <w:t xml:space="preserve"> </w:t>
      </w:r>
      <w:r w:rsidR="001E5ABB">
        <w:rPr>
          <w:rFonts w:cs="David" w:hint="cs"/>
          <w:sz w:val="24"/>
          <w:szCs w:val="24"/>
          <w:rtl/>
        </w:rPr>
        <w:t>4.21</w:t>
      </w:r>
      <w:r w:rsidR="0094605E" w:rsidRPr="001E5ABB">
        <w:rPr>
          <w:rFonts w:cs="David" w:hint="cs"/>
          <w:sz w:val="24"/>
          <w:szCs w:val="24"/>
          <w:rtl/>
        </w:rPr>
        <w:t xml:space="preserve"> </w:t>
      </w:r>
      <w:r w:rsidR="0094605E" w:rsidRPr="001E5ABB">
        <w:rPr>
          <w:rFonts w:cs="David"/>
          <w:sz w:val="24"/>
          <w:szCs w:val="24"/>
          <w:rtl/>
        </w:rPr>
        <w:t>–</w:t>
      </w:r>
      <w:r w:rsidR="0094605E" w:rsidRPr="001E5ABB">
        <w:rPr>
          <w:rFonts w:cs="David" w:hint="cs"/>
          <w:sz w:val="24"/>
          <w:szCs w:val="24"/>
          <w:rtl/>
        </w:rPr>
        <w:t xml:space="preserve"> הדרכה מקצועית וריענונים </w:t>
      </w:r>
      <w:r w:rsidR="0094605E" w:rsidRPr="001E5ABB">
        <w:rPr>
          <w:rFonts w:cs="David"/>
          <w:sz w:val="24"/>
          <w:szCs w:val="24"/>
          <w:rtl/>
        </w:rPr>
        <w:t>–</w:t>
      </w:r>
      <w:r w:rsidR="0094605E" w:rsidRPr="001E5ABB">
        <w:rPr>
          <w:rFonts w:cs="David" w:hint="cs"/>
          <w:sz w:val="24"/>
          <w:szCs w:val="24"/>
          <w:rtl/>
        </w:rPr>
        <w:t xml:space="preserve"> מדובר בהמצאה חדשה ויקרה ואנו מתנגדים לה.</w:t>
      </w:r>
      <w:r w:rsidR="001E5ABB">
        <w:rPr>
          <w:rFonts w:cs="David" w:hint="cs"/>
          <w:sz w:val="24"/>
          <w:szCs w:val="24"/>
          <w:rtl/>
        </w:rPr>
        <w:t xml:space="preserve"> הדרכה וריענונים יועברו רק למפעילי הבריכה על פי דין וככל הדין הקיים היום דורש זאת. אנו מתנגדים להרחבת חובה זו על יתר עובדי הבריכה ו/או המלון. </w:t>
      </w:r>
      <w:r w:rsidR="0094605E" w:rsidRPr="001E5ABB">
        <w:rPr>
          <w:rFonts w:cs="David" w:hint="cs"/>
          <w:sz w:val="24"/>
          <w:szCs w:val="24"/>
          <w:rtl/>
        </w:rPr>
        <w:t>מתנגדים גם לרענונים ולשמירת מסמכים למשך 5 שנים בארכיונים. המדובר בנטל בלתי רגיל שאיננו מעניינו של משרד הבריאות.</w:t>
      </w:r>
    </w:p>
    <w:p w14:paraId="6DE5329E" w14:textId="3C83072E" w:rsidR="0094605E" w:rsidRDefault="001E5ABB" w:rsidP="0094605E">
      <w:pPr>
        <w:pStyle w:val="ListParagraph"/>
        <w:numPr>
          <w:ilvl w:val="0"/>
          <w:numId w:val="1"/>
        </w:numPr>
        <w:ind w:left="509"/>
        <w:contextualSpacing w:val="0"/>
        <w:jc w:val="both"/>
        <w:rPr>
          <w:rFonts w:cs="David"/>
          <w:sz w:val="24"/>
          <w:szCs w:val="24"/>
        </w:rPr>
      </w:pPr>
      <w:r>
        <w:rPr>
          <w:rFonts w:cs="David" w:hint="cs"/>
          <w:sz w:val="24"/>
          <w:szCs w:val="24"/>
          <w:rtl/>
        </w:rPr>
        <w:t xml:space="preserve">4.22 </w:t>
      </w:r>
      <w:r w:rsidR="0094605E">
        <w:rPr>
          <w:rFonts w:cs="David"/>
          <w:sz w:val="24"/>
          <w:szCs w:val="24"/>
          <w:rtl/>
        </w:rPr>
        <w:t>–</w:t>
      </w:r>
      <w:r w:rsidR="0094605E">
        <w:rPr>
          <w:rFonts w:cs="David" w:hint="cs"/>
          <w:sz w:val="24"/>
          <w:szCs w:val="24"/>
          <w:rtl/>
        </w:rPr>
        <w:t xml:space="preserve"> תוכנית לבקרה פנימית </w:t>
      </w:r>
      <w:r w:rsidR="0094605E">
        <w:rPr>
          <w:rFonts w:cs="David"/>
          <w:sz w:val="24"/>
          <w:szCs w:val="24"/>
          <w:rtl/>
        </w:rPr>
        <w:t>–</w:t>
      </w:r>
      <w:r w:rsidR="0094605E">
        <w:rPr>
          <w:rFonts w:cs="David" w:hint="cs"/>
          <w:sz w:val="24"/>
          <w:szCs w:val="24"/>
          <w:rtl/>
        </w:rPr>
        <w:t xml:space="preserve"> דרישה חדשה שלא נדרשה קודם לכן ואין שום סיבה להידרש לכך עתה. אל למשרד הבריאות לומר לנו כיצד לפעול אלא לקבוע יעדים מדידים.</w:t>
      </w:r>
    </w:p>
    <w:p w14:paraId="3148D737" w14:textId="483E230A" w:rsidR="0094605E" w:rsidRPr="001E5ABB" w:rsidRDefault="001E5ABB" w:rsidP="0094605E">
      <w:pPr>
        <w:pStyle w:val="ListParagraph"/>
        <w:numPr>
          <w:ilvl w:val="0"/>
          <w:numId w:val="1"/>
        </w:numPr>
        <w:ind w:left="509"/>
        <w:contextualSpacing w:val="0"/>
        <w:jc w:val="both"/>
        <w:rPr>
          <w:rFonts w:cs="David"/>
          <w:sz w:val="24"/>
          <w:szCs w:val="24"/>
          <w:rtl/>
        </w:rPr>
      </w:pPr>
      <w:r w:rsidRPr="001E5ABB">
        <w:rPr>
          <w:rFonts w:cs="David" w:hint="cs"/>
          <w:sz w:val="24"/>
          <w:szCs w:val="24"/>
          <w:rtl/>
        </w:rPr>
        <w:t xml:space="preserve">4.23 </w:t>
      </w:r>
      <w:r w:rsidR="0094605E" w:rsidRPr="001E5ABB">
        <w:rPr>
          <w:rFonts w:cs="David"/>
          <w:sz w:val="24"/>
          <w:szCs w:val="24"/>
          <w:rtl/>
        </w:rPr>
        <w:t>–</w:t>
      </w:r>
      <w:r w:rsidR="0094605E" w:rsidRPr="001E5ABB">
        <w:rPr>
          <w:rFonts w:cs="David" w:hint="cs"/>
          <w:sz w:val="24"/>
          <w:szCs w:val="24"/>
          <w:rtl/>
        </w:rPr>
        <w:t xml:space="preserve"> שמירת תיעוד מסמכים לתקופה של 5 שנים </w:t>
      </w:r>
      <w:r w:rsidR="0094605E" w:rsidRPr="001E5ABB">
        <w:rPr>
          <w:rFonts w:cs="David"/>
          <w:sz w:val="24"/>
          <w:szCs w:val="24"/>
          <w:rtl/>
        </w:rPr>
        <w:t>–</w:t>
      </w:r>
      <w:r w:rsidR="0094605E" w:rsidRPr="001E5ABB">
        <w:rPr>
          <w:rFonts w:cs="David" w:hint="cs"/>
          <w:sz w:val="24"/>
          <w:szCs w:val="24"/>
          <w:rtl/>
        </w:rPr>
        <w:t xml:space="preserve"> </w:t>
      </w:r>
      <w:r w:rsidRPr="001E5ABB">
        <w:rPr>
          <w:rFonts w:cs="David" w:hint="cs"/>
          <w:sz w:val="24"/>
          <w:szCs w:val="24"/>
          <w:rtl/>
        </w:rPr>
        <w:t>לבטל</w:t>
      </w:r>
      <w:r>
        <w:rPr>
          <w:rFonts w:cs="David" w:hint="cs"/>
          <w:sz w:val="24"/>
          <w:szCs w:val="24"/>
          <w:rtl/>
        </w:rPr>
        <w:t xml:space="preserve">. </w:t>
      </w:r>
      <w:r w:rsidR="0094605E" w:rsidRPr="001E5ABB">
        <w:rPr>
          <w:rFonts w:cs="David" w:hint="cs"/>
          <w:sz w:val="24"/>
          <w:szCs w:val="24"/>
          <w:rtl/>
        </w:rPr>
        <w:t>מדובר בנטל בלתי רגיל שאיננו נדרש בשום מדינה מתוקנת. זו דרישה שלא נדרשה קודם לכן בהיקף כזה ויש לבטלה.</w:t>
      </w:r>
    </w:p>
    <w:p w14:paraId="6595EB40" w14:textId="77777777" w:rsidR="00F00F64" w:rsidRDefault="00F00F64" w:rsidP="0094605E">
      <w:pPr>
        <w:pStyle w:val="ListParagraph"/>
        <w:ind w:left="-134"/>
        <w:contextualSpacing w:val="0"/>
        <w:jc w:val="both"/>
        <w:rPr>
          <w:rFonts w:cs="David"/>
          <w:sz w:val="24"/>
          <w:szCs w:val="24"/>
          <w:rtl/>
        </w:rPr>
      </w:pPr>
    </w:p>
    <w:p w14:paraId="433B82DF" w14:textId="05609738" w:rsidR="0094605E" w:rsidRDefault="0094605E" w:rsidP="0094605E">
      <w:pPr>
        <w:pStyle w:val="ListParagraph"/>
        <w:ind w:left="-134"/>
        <w:contextualSpacing w:val="0"/>
        <w:jc w:val="both"/>
        <w:rPr>
          <w:rFonts w:cs="David"/>
          <w:sz w:val="24"/>
          <w:szCs w:val="24"/>
          <w:rtl/>
        </w:rPr>
      </w:pPr>
      <w:r>
        <w:rPr>
          <w:rFonts w:cs="David" w:hint="cs"/>
          <w:sz w:val="24"/>
          <w:szCs w:val="24"/>
          <w:rtl/>
        </w:rPr>
        <w:t>לסיכום, אנו מודעים לעומס העבודה שמונח בשגרה על כתפי משרד הבריאות, ובטח ובטח בעת משבר הקורונה, ואנו מברכים את המשרד על פעילותו הכללית בעת המשבר ועל כתיבת טיוטת המפרט האחיד הנ"ל. אין מדובר בימים פשוטים ואתם ראויים להערכה על פועלכם.</w:t>
      </w:r>
    </w:p>
    <w:p w14:paraId="5D187D0D" w14:textId="77777777" w:rsidR="0094605E" w:rsidRDefault="0094605E" w:rsidP="0094605E">
      <w:pPr>
        <w:pStyle w:val="ListParagraph"/>
        <w:ind w:left="-134"/>
        <w:contextualSpacing w:val="0"/>
        <w:jc w:val="both"/>
        <w:rPr>
          <w:rFonts w:cs="David"/>
          <w:sz w:val="24"/>
          <w:szCs w:val="24"/>
          <w:rtl/>
        </w:rPr>
      </w:pPr>
      <w:r>
        <w:rPr>
          <w:rFonts w:cs="David" w:hint="cs"/>
          <w:sz w:val="24"/>
          <w:szCs w:val="24"/>
          <w:rtl/>
        </w:rPr>
        <w:t xml:space="preserve">אין ספק כי המפרט האחיד מתבקש על מנת ליישר קו בצורה כלל ארצית ולמניעת פרשנויות שונות במקומות שונים במדינה. </w:t>
      </w:r>
    </w:p>
    <w:p w14:paraId="0F8245F9" w14:textId="493EC120" w:rsidR="0094605E" w:rsidRDefault="0094605E" w:rsidP="0094605E">
      <w:pPr>
        <w:pStyle w:val="ListParagraph"/>
        <w:ind w:left="-134"/>
        <w:contextualSpacing w:val="0"/>
        <w:jc w:val="both"/>
        <w:rPr>
          <w:rFonts w:cs="David"/>
          <w:sz w:val="24"/>
          <w:szCs w:val="24"/>
          <w:rtl/>
        </w:rPr>
      </w:pPr>
      <w:r>
        <w:rPr>
          <w:rFonts w:cs="David" w:hint="cs"/>
          <w:sz w:val="24"/>
          <w:szCs w:val="24"/>
          <w:rtl/>
        </w:rPr>
        <w:t xml:space="preserve">קשה להשתחרר מהתחושה כי נאספו כל ההנחיות הקיימות שנכתבו בנושא בישראל וצירופן על הצד המחמיר לכדי מפרט אחיד, תוך הוספת דרישות חדשות יש מאין ודרישות תפעול שמעולם לא נדרשו ואל להן להידרש מהמלונות. יש לאפשר לבעלי </w:t>
      </w:r>
      <w:r w:rsidR="001E5ABB">
        <w:rPr>
          <w:rFonts w:cs="David" w:hint="cs"/>
          <w:sz w:val="24"/>
          <w:szCs w:val="24"/>
          <w:rtl/>
        </w:rPr>
        <w:t>העסקים</w:t>
      </w:r>
      <w:r>
        <w:rPr>
          <w:rFonts w:cs="David" w:hint="cs"/>
          <w:sz w:val="24"/>
          <w:szCs w:val="24"/>
          <w:rtl/>
        </w:rPr>
        <w:t xml:space="preserve"> לנהל את העסקים כראות עיניהם תוך שהציבור ישפוט אותם </w:t>
      </w:r>
      <w:r>
        <w:rPr>
          <w:rFonts w:cs="David"/>
          <w:sz w:val="24"/>
          <w:szCs w:val="24"/>
          <w:rtl/>
        </w:rPr>
        <w:t>–</w:t>
      </w:r>
      <w:r>
        <w:rPr>
          <w:rFonts w:cs="David" w:hint="cs"/>
          <w:sz w:val="24"/>
          <w:szCs w:val="24"/>
          <w:rtl/>
        </w:rPr>
        <w:t xml:space="preserve"> ולעסק גרוע לא יגיע.</w:t>
      </w:r>
    </w:p>
    <w:p w14:paraId="13C32AAA" w14:textId="4DFBA563" w:rsidR="0094605E" w:rsidRDefault="0094605E" w:rsidP="0094605E">
      <w:pPr>
        <w:pStyle w:val="ListParagraph"/>
        <w:ind w:left="-134"/>
        <w:contextualSpacing w:val="0"/>
        <w:jc w:val="both"/>
        <w:rPr>
          <w:rFonts w:cs="David"/>
          <w:sz w:val="24"/>
          <w:szCs w:val="24"/>
        </w:rPr>
      </w:pPr>
      <w:r>
        <w:rPr>
          <w:rFonts w:cs="David" w:hint="cs"/>
          <w:sz w:val="24"/>
          <w:szCs w:val="24"/>
          <w:rtl/>
        </w:rPr>
        <w:t xml:space="preserve">טוב היה לו היה מתבצע הליך טיוב רגולציה כך שכתיבת אוגדן הדרישות היה פחות מחמיר, לשם שמירה על בריאות הציבור מחד, ומאידך, תוך מתן אפשרות להפעלת עסקי </w:t>
      </w:r>
      <w:r w:rsidR="001E5ABB">
        <w:rPr>
          <w:rFonts w:cs="David" w:hint="cs"/>
          <w:sz w:val="24"/>
          <w:szCs w:val="24"/>
          <w:rtl/>
        </w:rPr>
        <w:t>בריכה</w:t>
      </w:r>
      <w:r>
        <w:rPr>
          <w:rFonts w:cs="David" w:hint="cs"/>
          <w:sz w:val="24"/>
          <w:szCs w:val="24"/>
          <w:rtl/>
        </w:rPr>
        <w:t xml:space="preserve"> בסטנדרטים ובעלויות שנהוגות במדינות מפותחות מקבילות לנו. </w:t>
      </w:r>
    </w:p>
    <w:p w14:paraId="414880FE" w14:textId="77777777" w:rsidR="0094605E" w:rsidRDefault="0094605E" w:rsidP="0094605E">
      <w:pPr>
        <w:pStyle w:val="ListParagraph"/>
        <w:ind w:left="-134"/>
        <w:contextualSpacing w:val="0"/>
        <w:jc w:val="both"/>
        <w:rPr>
          <w:rFonts w:cs="David"/>
          <w:sz w:val="24"/>
          <w:szCs w:val="24"/>
          <w:rtl/>
        </w:rPr>
      </w:pPr>
      <w:r>
        <w:rPr>
          <w:rFonts w:cs="David" w:hint="cs"/>
          <w:sz w:val="24"/>
          <w:szCs w:val="24"/>
          <w:rtl/>
        </w:rPr>
        <w:t xml:space="preserve">אנו מבקשים לשקול קו מנחה, לפיו, כל מה שלא נדרש מעסקים מקבילים בחו"ל - לא יתבקש בישראל, אלא היכן שיש שונות רלוונטית ואין מנוס מלדרוש גם בישראל. </w:t>
      </w:r>
    </w:p>
    <w:p w14:paraId="158963D2" w14:textId="77777777" w:rsidR="0094605E" w:rsidRDefault="0094605E" w:rsidP="0094605E">
      <w:pPr>
        <w:pStyle w:val="ListParagraph"/>
        <w:spacing w:after="0" w:line="240" w:lineRule="auto"/>
        <w:ind w:left="-134"/>
        <w:contextualSpacing w:val="0"/>
        <w:jc w:val="both"/>
        <w:rPr>
          <w:rFonts w:cs="David"/>
          <w:sz w:val="24"/>
          <w:szCs w:val="24"/>
          <w:rtl/>
        </w:rPr>
      </w:pPr>
      <w:r>
        <w:rPr>
          <w:rFonts w:cs="David" w:hint="cs"/>
          <w:sz w:val="24"/>
          <w:szCs w:val="24"/>
          <w:rtl/>
        </w:rPr>
        <w:t xml:space="preserve">אנו מודים לכם על מתן הזדמנות להגיב למפרט, מקווים כי תיקחו את הערותינו במלא הרצינות המתבקשת ותקיימו איתנו שיח בונה בנושא, ומחזקים את ידיכם על הפעילות הלא פשוטה מבחינתכם. </w:t>
      </w:r>
    </w:p>
    <w:p w14:paraId="52C73712" w14:textId="77777777" w:rsidR="0094605E" w:rsidRDefault="0094605E" w:rsidP="0094605E">
      <w:pPr>
        <w:pStyle w:val="ListParagraph"/>
        <w:spacing w:after="0" w:line="240" w:lineRule="auto"/>
        <w:ind w:left="-134"/>
        <w:contextualSpacing w:val="0"/>
        <w:jc w:val="both"/>
        <w:rPr>
          <w:rFonts w:cs="David"/>
          <w:sz w:val="24"/>
          <w:szCs w:val="24"/>
          <w:rtl/>
        </w:rPr>
      </w:pPr>
    </w:p>
    <w:p w14:paraId="3F9887D4" w14:textId="77777777" w:rsidR="0094605E" w:rsidRDefault="0094605E" w:rsidP="0094605E">
      <w:pPr>
        <w:pStyle w:val="ListParagraph"/>
        <w:spacing w:after="0" w:line="240" w:lineRule="auto"/>
        <w:jc w:val="right"/>
        <w:rPr>
          <w:rFonts w:cs="David"/>
          <w:sz w:val="24"/>
          <w:szCs w:val="24"/>
          <w:rtl/>
        </w:rPr>
      </w:pPr>
      <w:r>
        <w:rPr>
          <w:rFonts w:cs="David" w:hint="cs"/>
          <w:noProof/>
          <w:sz w:val="24"/>
          <w:szCs w:val="24"/>
        </w:rPr>
        <w:lastRenderedPageBreak/>
        <w:drawing>
          <wp:inline distT="0" distB="0" distL="0" distR="0" wp14:anchorId="13A4FA18" wp14:editId="3B1B35CC">
            <wp:extent cx="141922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647700"/>
                    </a:xfrm>
                    <a:prstGeom prst="rect">
                      <a:avLst/>
                    </a:prstGeom>
                    <a:noFill/>
                    <a:ln>
                      <a:noFill/>
                    </a:ln>
                  </pic:spPr>
                </pic:pic>
              </a:graphicData>
            </a:graphic>
          </wp:inline>
        </w:drawing>
      </w:r>
    </w:p>
    <w:p w14:paraId="599FA522" w14:textId="77777777" w:rsidR="0094605E" w:rsidRDefault="0094605E" w:rsidP="0094605E">
      <w:pPr>
        <w:spacing w:after="0" w:line="240" w:lineRule="auto"/>
        <w:rPr>
          <w:rFonts w:cs="David"/>
          <w:sz w:val="24"/>
          <w:szCs w:val="24"/>
          <w:rtl/>
        </w:rPr>
      </w:pPr>
    </w:p>
    <w:p w14:paraId="5C8EF060" w14:textId="77777777" w:rsidR="0094605E" w:rsidRDefault="0094605E" w:rsidP="0094605E">
      <w:pPr>
        <w:spacing w:after="0" w:line="240" w:lineRule="auto"/>
        <w:rPr>
          <w:rFonts w:cs="David"/>
          <w:sz w:val="24"/>
          <w:szCs w:val="24"/>
          <w:rtl/>
        </w:rPr>
      </w:pPr>
    </w:p>
    <w:p w14:paraId="72A889B5" w14:textId="77777777" w:rsidR="0094605E" w:rsidRDefault="0094605E" w:rsidP="0094605E">
      <w:pPr>
        <w:spacing w:after="0" w:line="240" w:lineRule="auto"/>
        <w:rPr>
          <w:rFonts w:cs="David"/>
          <w:sz w:val="24"/>
          <w:szCs w:val="24"/>
          <w:rtl/>
        </w:rPr>
      </w:pPr>
      <w:r>
        <w:rPr>
          <w:rFonts w:cs="David" w:hint="cs"/>
          <w:sz w:val="24"/>
          <w:szCs w:val="24"/>
          <w:rtl/>
        </w:rPr>
        <w:t>העתקים:</w:t>
      </w:r>
    </w:p>
    <w:p w14:paraId="46B7E81A" w14:textId="77777777" w:rsidR="0094605E" w:rsidRDefault="0094605E" w:rsidP="0094605E">
      <w:pPr>
        <w:spacing w:after="0" w:line="240" w:lineRule="auto"/>
        <w:rPr>
          <w:rFonts w:cs="David"/>
          <w:sz w:val="24"/>
          <w:szCs w:val="24"/>
          <w:rtl/>
        </w:rPr>
      </w:pPr>
      <w:r>
        <w:rPr>
          <w:rFonts w:cs="David" w:hint="cs"/>
          <w:sz w:val="24"/>
          <w:szCs w:val="24"/>
          <w:rtl/>
        </w:rPr>
        <w:t>עמיחי פישר, מנהל בכיר אגף רגולציה, משרד ראש הממשלה</w:t>
      </w:r>
    </w:p>
    <w:p w14:paraId="18501752" w14:textId="77777777" w:rsidR="0094605E" w:rsidRDefault="0094605E" w:rsidP="0094605E">
      <w:pPr>
        <w:spacing w:after="0" w:line="240" w:lineRule="auto"/>
        <w:rPr>
          <w:rFonts w:cs="David"/>
          <w:sz w:val="24"/>
          <w:szCs w:val="24"/>
          <w:rtl/>
        </w:rPr>
      </w:pPr>
      <w:r>
        <w:rPr>
          <w:rFonts w:cs="David" w:hint="cs"/>
          <w:sz w:val="24"/>
          <w:szCs w:val="24"/>
          <w:rtl/>
        </w:rPr>
        <w:t>דודו קובסניאנו, יועמ"ש משרד התיירות</w:t>
      </w:r>
    </w:p>
    <w:p w14:paraId="539B7184" w14:textId="77777777" w:rsidR="0094605E" w:rsidRPr="008E3565" w:rsidRDefault="0094605E" w:rsidP="0094605E">
      <w:pPr>
        <w:spacing w:after="0" w:line="240" w:lineRule="auto"/>
        <w:rPr>
          <w:rFonts w:cs="David"/>
          <w:sz w:val="24"/>
          <w:szCs w:val="24"/>
        </w:rPr>
      </w:pPr>
      <w:r>
        <w:rPr>
          <w:rFonts w:cs="David" w:hint="cs"/>
          <w:sz w:val="24"/>
          <w:szCs w:val="24"/>
          <w:rtl/>
        </w:rPr>
        <w:t xml:space="preserve">מינה גנם, </w:t>
      </w:r>
      <w:r w:rsidRPr="008E3565">
        <w:rPr>
          <w:rFonts w:cs="David"/>
          <w:sz w:val="24"/>
          <w:szCs w:val="24"/>
          <w:rtl/>
        </w:rPr>
        <w:t>מנהלת אגף בכירה</w:t>
      </w:r>
      <w:r>
        <w:rPr>
          <w:rFonts w:cs="David" w:hint="cs"/>
          <w:sz w:val="24"/>
          <w:szCs w:val="24"/>
          <w:rtl/>
        </w:rPr>
        <w:t xml:space="preserve">, </w:t>
      </w:r>
      <w:r w:rsidRPr="008E3565">
        <w:rPr>
          <w:rFonts w:cs="David"/>
          <w:sz w:val="24"/>
          <w:szCs w:val="24"/>
          <w:rtl/>
        </w:rPr>
        <w:t>מינהל תיכנון מד</w:t>
      </w:r>
      <w:r>
        <w:rPr>
          <w:rFonts w:cs="David" w:hint="cs"/>
          <w:sz w:val="24"/>
          <w:szCs w:val="24"/>
          <w:rtl/>
        </w:rPr>
        <w:t>י</w:t>
      </w:r>
      <w:r w:rsidRPr="008E3565">
        <w:rPr>
          <w:rFonts w:cs="David"/>
          <w:sz w:val="24"/>
          <w:szCs w:val="24"/>
          <w:rtl/>
        </w:rPr>
        <w:t>ניות ואסטרטגיה</w:t>
      </w:r>
      <w:r>
        <w:rPr>
          <w:rFonts w:cs="David" w:hint="cs"/>
          <w:sz w:val="24"/>
          <w:szCs w:val="24"/>
          <w:rtl/>
        </w:rPr>
        <w:t>, משרד התיירות</w:t>
      </w:r>
    </w:p>
    <w:p w14:paraId="0D5EAECC" w14:textId="77777777" w:rsidR="0094605E" w:rsidRDefault="0094605E" w:rsidP="0094605E">
      <w:pPr>
        <w:spacing w:after="0" w:line="240" w:lineRule="auto"/>
        <w:rPr>
          <w:rFonts w:cs="David"/>
          <w:sz w:val="24"/>
          <w:szCs w:val="24"/>
          <w:rtl/>
        </w:rPr>
      </w:pPr>
      <w:r>
        <w:rPr>
          <w:rFonts w:cs="David" w:hint="cs"/>
          <w:sz w:val="24"/>
          <w:szCs w:val="24"/>
          <w:rtl/>
        </w:rPr>
        <w:t>אביחי שגב, מנהל אגף טיוב רגולציה, משרד הבריאות</w:t>
      </w:r>
    </w:p>
    <w:p w14:paraId="0464736C" w14:textId="77777777" w:rsidR="0094605E" w:rsidRDefault="0094605E" w:rsidP="0094605E">
      <w:pPr>
        <w:spacing w:after="0" w:line="240" w:lineRule="auto"/>
        <w:rPr>
          <w:rFonts w:cs="David"/>
          <w:sz w:val="24"/>
          <w:szCs w:val="24"/>
          <w:rtl/>
        </w:rPr>
      </w:pPr>
      <w:r>
        <w:rPr>
          <w:rFonts w:cs="David" w:hint="cs"/>
          <w:sz w:val="24"/>
          <w:szCs w:val="24"/>
          <w:rtl/>
        </w:rPr>
        <w:t>עידו מירז, מנהל אגף טיוב רגולציה, משרד הפנים</w:t>
      </w:r>
    </w:p>
    <w:p w14:paraId="1CACA943" w14:textId="77777777" w:rsidR="0094605E" w:rsidRDefault="0094605E" w:rsidP="0094605E">
      <w:pPr>
        <w:spacing w:after="0" w:line="240" w:lineRule="auto"/>
        <w:rPr>
          <w:rFonts w:cs="David"/>
          <w:sz w:val="24"/>
          <w:szCs w:val="24"/>
          <w:rtl/>
        </w:rPr>
      </w:pPr>
      <w:r>
        <w:rPr>
          <w:rFonts w:cs="David" w:hint="cs"/>
          <w:sz w:val="24"/>
          <w:szCs w:val="24"/>
          <w:rtl/>
        </w:rPr>
        <w:t>נועם דן, רפרנטית תיירות, משרד האוצר</w:t>
      </w:r>
    </w:p>
    <w:p w14:paraId="26E63D91" w14:textId="77777777" w:rsidR="0094605E" w:rsidRDefault="0094605E" w:rsidP="0094605E">
      <w:pPr>
        <w:spacing w:after="0" w:line="240" w:lineRule="auto"/>
        <w:rPr>
          <w:rFonts w:cs="David"/>
          <w:sz w:val="24"/>
          <w:szCs w:val="24"/>
          <w:rtl/>
        </w:rPr>
      </w:pPr>
      <w:r>
        <w:rPr>
          <w:rFonts w:cs="David" w:hint="cs"/>
          <w:sz w:val="24"/>
          <w:szCs w:val="24"/>
          <w:rtl/>
        </w:rPr>
        <w:t xml:space="preserve">עו"ד יעל דניאלי, מנכ"לית התאחדות המלונות בישראל </w:t>
      </w:r>
    </w:p>
    <w:p w14:paraId="69D4AF6D" w14:textId="77777777" w:rsidR="0094605E" w:rsidRDefault="0094605E" w:rsidP="0094605E">
      <w:pPr>
        <w:spacing w:after="0" w:line="240" w:lineRule="auto"/>
        <w:rPr>
          <w:rtl/>
        </w:rPr>
      </w:pPr>
      <w:r>
        <w:rPr>
          <w:rFonts w:cs="David" w:hint="cs"/>
          <w:sz w:val="24"/>
          <w:szCs w:val="24"/>
          <w:rtl/>
        </w:rPr>
        <w:t>פנינה בן דוד, מנהלת המחלקה הכלכלית, התאחדות המלונות בישראל</w:t>
      </w:r>
    </w:p>
    <w:p w14:paraId="1F5ADAF1" w14:textId="77777777" w:rsidR="0094605E" w:rsidRPr="0005740C" w:rsidRDefault="0094605E" w:rsidP="0094605E">
      <w:pPr>
        <w:spacing w:after="0" w:line="240" w:lineRule="auto"/>
      </w:pPr>
    </w:p>
    <w:p w14:paraId="7B8E0A11" w14:textId="77777777" w:rsidR="0094605E" w:rsidRPr="009B4F57" w:rsidRDefault="0094605E" w:rsidP="0094605E"/>
    <w:p w14:paraId="13252910" w14:textId="77777777" w:rsidR="0094605E" w:rsidRPr="003101D0" w:rsidRDefault="0094605E" w:rsidP="0094605E"/>
    <w:p w14:paraId="6BFF0DAD" w14:textId="77777777" w:rsidR="00311647" w:rsidRPr="0094605E" w:rsidRDefault="00311647"/>
    <w:sectPr w:rsidR="00311647" w:rsidRPr="0094605E" w:rsidSect="00D322EF">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4254" w14:textId="77777777" w:rsidR="0094605E" w:rsidRDefault="0094605E" w:rsidP="0094605E">
      <w:pPr>
        <w:spacing w:after="0" w:line="240" w:lineRule="auto"/>
      </w:pPr>
      <w:r>
        <w:separator/>
      </w:r>
    </w:p>
  </w:endnote>
  <w:endnote w:type="continuationSeparator" w:id="0">
    <w:p w14:paraId="79216EB1" w14:textId="77777777" w:rsidR="0094605E" w:rsidRDefault="0094605E" w:rsidP="0094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D075" w14:textId="77777777" w:rsidR="0094605E" w:rsidRDefault="0094605E" w:rsidP="0094605E">
      <w:pPr>
        <w:spacing w:after="0" w:line="240" w:lineRule="auto"/>
      </w:pPr>
      <w:r>
        <w:separator/>
      </w:r>
    </w:p>
  </w:footnote>
  <w:footnote w:type="continuationSeparator" w:id="0">
    <w:p w14:paraId="487B8463" w14:textId="77777777" w:rsidR="0094605E" w:rsidRDefault="0094605E" w:rsidP="0094605E">
      <w:pPr>
        <w:spacing w:after="0" w:line="240" w:lineRule="auto"/>
      </w:pPr>
      <w:r>
        <w:continuationSeparator/>
      </w:r>
    </w:p>
  </w:footnote>
  <w:footnote w:id="1">
    <w:p w14:paraId="1DEBAD1A" w14:textId="77777777" w:rsidR="0094605E" w:rsidRPr="00F00F64" w:rsidRDefault="0094605E" w:rsidP="0094605E">
      <w:pPr>
        <w:pStyle w:val="FootnoteText"/>
        <w:bidi w:val="0"/>
        <w:rPr>
          <w:rStyle w:val="FootnoteReference"/>
          <w:rFonts w:asciiTheme="majorBidi" w:hAnsiTheme="majorBidi" w:cstheme="majorBidi"/>
          <w:vertAlign w:val="baseline"/>
        </w:rPr>
      </w:pPr>
      <w:r w:rsidRPr="00F00F64">
        <w:rPr>
          <w:rStyle w:val="FootnoteReference"/>
          <w:rFonts w:asciiTheme="majorBidi" w:hAnsiTheme="majorBidi" w:cstheme="majorBidi"/>
          <w:vertAlign w:val="baseline"/>
        </w:rPr>
        <w:footnoteRef/>
      </w:r>
      <w:r w:rsidRPr="00F00F64">
        <w:rPr>
          <w:rFonts w:asciiTheme="majorBidi" w:hAnsiTheme="majorBidi" w:cstheme="majorBidi"/>
          <w:rtl/>
        </w:rPr>
        <w:t xml:space="preserve"> </w:t>
      </w:r>
      <w:r w:rsidRPr="00F00F64">
        <w:rPr>
          <w:rStyle w:val="FootnoteReference"/>
          <w:rFonts w:asciiTheme="majorBidi" w:hAnsiTheme="majorBidi" w:cstheme="majorBidi"/>
          <w:vertAlign w:val="baseline"/>
        </w:rPr>
        <w:t>Daphne Barak-Erez, "The Doctrine of Legitimate Expectations and the Distinction between the Reliance and Expectation Interests", European Public Law, Volume 11, Issue 4 (2005).</w:t>
      </w:r>
    </w:p>
  </w:footnote>
  <w:footnote w:id="2">
    <w:p w14:paraId="755C77B0" w14:textId="77777777" w:rsidR="0094605E" w:rsidRPr="00F00F64" w:rsidRDefault="0094605E" w:rsidP="0094605E">
      <w:pPr>
        <w:pStyle w:val="FootnoteText"/>
        <w:bidi w:val="0"/>
        <w:rPr>
          <w:rFonts w:asciiTheme="majorBidi" w:hAnsiTheme="majorBidi" w:cstheme="majorBidi"/>
        </w:rPr>
      </w:pPr>
      <w:r w:rsidRPr="00F00F64">
        <w:rPr>
          <w:rStyle w:val="FootnoteReference"/>
          <w:rFonts w:asciiTheme="majorBidi" w:hAnsiTheme="majorBidi" w:cstheme="majorBidi"/>
          <w:vertAlign w:val="baseline"/>
        </w:rPr>
        <w:footnoteRef/>
      </w:r>
      <w:r w:rsidRPr="00F00F64">
        <w:rPr>
          <w:rStyle w:val="FootnoteReference"/>
          <w:rFonts w:asciiTheme="majorBidi" w:hAnsiTheme="majorBidi" w:cstheme="majorBidi"/>
          <w:vertAlign w:val="baseline"/>
        </w:rPr>
        <w:t xml:space="preserve"> Volkmar Gotz ‘Protection of Legitimate Expectations’ German Reports on Public Law Presented to the XV International Congress on Comparative Law (Eibe Riedel ed., 1998) 133.</w:t>
      </w:r>
      <w:r w:rsidRPr="00F00F64">
        <w:rPr>
          <w:rFonts w:asciiTheme="majorBidi" w:hAnsiTheme="majorBidi" w:cstheme="majorBidi"/>
        </w:rPr>
        <w:t xml:space="preserve"> </w:t>
      </w:r>
    </w:p>
  </w:footnote>
  <w:footnote w:id="3">
    <w:p w14:paraId="77689272" w14:textId="77777777" w:rsidR="0094605E" w:rsidRPr="00F00F64" w:rsidRDefault="0094605E" w:rsidP="0094605E">
      <w:pPr>
        <w:pStyle w:val="FootnoteText"/>
        <w:bidi w:val="0"/>
        <w:rPr>
          <w:rFonts w:asciiTheme="majorBidi" w:hAnsiTheme="majorBidi" w:cstheme="majorBidi"/>
        </w:rPr>
      </w:pPr>
      <w:r w:rsidRPr="00F00F64">
        <w:rPr>
          <w:rStyle w:val="FootnoteReference"/>
          <w:rFonts w:asciiTheme="majorBidi" w:hAnsiTheme="majorBidi" w:cstheme="majorBidi"/>
          <w:vertAlign w:val="baseline"/>
        </w:rPr>
        <w:footnoteRef/>
      </w:r>
      <w:r w:rsidRPr="00F00F64">
        <w:rPr>
          <w:rFonts w:asciiTheme="majorBidi" w:hAnsiTheme="majorBidi" w:cstheme="majorBidi"/>
        </w:rPr>
        <w:t xml:space="preserve"> BverfGE 13, 261.</w:t>
      </w:r>
    </w:p>
  </w:footnote>
  <w:footnote w:id="4">
    <w:p w14:paraId="01C714D5" w14:textId="77777777" w:rsidR="0094605E" w:rsidRPr="00F00F64" w:rsidRDefault="0094605E" w:rsidP="0094605E">
      <w:pPr>
        <w:pStyle w:val="FootnoteText"/>
        <w:bidi w:val="0"/>
        <w:rPr>
          <w:rFonts w:asciiTheme="majorBidi" w:hAnsiTheme="majorBidi" w:cstheme="majorBidi"/>
        </w:rPr>
      </w:pPr>
      <w:r w:rsidRPr="00F00F64">
        <w:rPr>
          <w:rStyle w:val="FootnoteReference"/>
          <w:rFonts w:asciiTheme="majorBidi" w:hAnsiTheme="majorBidi" w:cstheme="majorBidi"/>
          <w:vertAlign w:val="baseline"/>
        </w:rPr>
        <w:footnoteRef/>
      </w:r>
      <w:r w:rsidRPr="00F00F64">
        <w:rPr>
          <w:rStyle w:val="FootnoteReference"/>
          <w:rFonts w:asciiTheme="majorBidi" w:hAnsiTheme="majorBidi" w:cstheme="majorBidi"/>
          <w:vertAlign w:val="baseline"/>
        </w:rPr>
        <w:t xml:space="preserve"> “The general rule is that a substantive statute will not operate retrospectively absent clear legislative intent to the contrary, but that a procedural or remedial statute is to operate retrospectively.” State Farm Mut. Auto Ins. Co. v. Laforet, 658 So. 2d 55, 61 (Fla. 1995) citing Arrow Air, Inc. v. Walsh, 645 So. 2d 422 (Fla. 1994); Alamo Rent-A-Car, Inc v. Mancusi, 632 So. 2d 1352 (Fla. 1994); and City of Lakeland v. Catinella, 129 So. 2d 133 (Fla. 1961).</w:t>
      </w:r>
    </w:p>
    <w:p w14:paraId="4D76D4C5" w14:textId="77777777" w:rsidR="0094605E" w:rsidRPr="00F00F64" w:rsidRDefault="004F300E" w:rsidP="0094605E">
      <w:pPr>
        <w:pStyle w:val="FootnoteText"/>
        <w:bidi w:val="0"/>
        <w:rPr>
          <w:rFonts w:asciiTheme="majorBidi" w:hAnsiTheme="majorBidi" w:cstheme="majorBidi"/>
        </w:rPr>
      </w:pPr>
      <w:hyperlink r:id="rId1" w:history="1">
        <w:r w:rsidR="0094605E" w:rsidRPr="00F00F64">
          <w:rPr>
            <w:rStyle w:val="Hyperlink"/>
            <w:rFonts w:asciiTheme="majorBidi" w:hAnsiTheme="majorBidi" w:cstheme="majorBidi"/>
          </w:rPr>
          <w:t>https://www.robertsonhunter.com/retroactivity-of-the-statutory-changes-to-floridas-stand-your-ground-law/</w:t>
        </w:r>
      </w:hyperlink>
    </w:p>
  </w:footnote>
  <w:footnote w:id="5">
    <w:p w14:paraId="62CD558B" w14:textId="77777777" w:rsidR="0094605E" w:rsidRPr="00F00F64" w:rsidRDefault="0094605E" w:rsidP="0094605E">
      <w:pPr>
        <w:pStyle w:val="FootnoteText"/>
        <w:bidi w:val="0"/>
        <w:rPr>
          <w:rStyle w:val="FootnoteReference"/>
          <w:rFonts w:asciiTheme="majorBidi" w:hAnsiTheme="majorBidi" w:cstheme="majorBidi"/>
          <w:vertAlign w:val="baseline"/>
          <w:rtl/>
        </w:rPr>
      </w:pPr>
      <w:r w:rsidRPr="00F00F64">
        <w:rPr>
          <w:rStyle w:val="FootnoteReference"/>
          <w:rFonts w:asciiTheme="majorBidi" w:hAnsiTheme="majorBidi" w:cstheme="majorBidi"/>
          <w:vertAlign w:val="baseline"/>
        </w:rPr>
        <w:footnoteRef/>
      </w:r>
      <w:r w:rsidRPr="00F00F64">
        <w:rPr>
          <w:rStyle w:val="FootnoteReference"/>
          <w:rFonts w:asciiTheme="majorBidi" w:hAnsiTheme="majorBidi" w:cstheme="majorBidi"/>
          <w:vertAlign w:val="baseline"/>
          <w:rtl/>
        </w:rPr>
        <w:t xml:space="preserve"> </w:t>
      </w:r>
      <w:r w:rsidRPr="00F00F64">
        <w:rPr>
          <w:rStyle w:val="FootnoteReference"/>
          <w:rFonts w:asciiTheme="majorBidi" w:hAnsiTheme="majorBidi" w:cstheme="majorBidi"/>
          <w:vertAlign w:val="baseline"/>
        </w:rPr>
        <w:t>Revised Guidance issued under section 182 of the Licensing Act 2003 April 2018</w:t>
      </w:r>
      <w:r w:rsidRPr="00F00F64">
        <w:rPr>
          <w:rFonts w:asciiTheme="majorBidi" w:hAnsiTheme="majorBidi" w:cstheme="majorBidi"/>
        </w:rPr>
        <w:t xml:space="preserve"> (U.K)</w:t>
      </w:r>
    </w:p>
    <w:p w14:paraId="7A57AD61" w14:textId="77777777" w:rsidR="0094605E" w:rsidRPr="00F00F64" w:rsidRDefault="004F300E" w:rsidP="0094605E">
      <w:pPr>
        <w:pStyle w:val="FootnoteText"/>
        <w:bidi w:val="0"/>
        <w:rPr>
          <w:rStyle w:val="Hyperlink"/>
          <w:rFonts w:asciiTheme="majorBidi" w:hAnsiTheme="majorBidi" w:cstheme="majorBidi"/>
        </w:rPr>
      </w:pPr>
      <w:hyperlink r:id="rId2" w:history="1">
        <w:r w:rsidR="0094605E" w:rsidRPr="00F00F64">
          <w:rPr>
            <w:rStyle w:val="Hyperlink"/>
            <w:rFonts w:asciiTheme="majorBidi" w:hAnsiTheme="majorBidi" w:cstheme="majorBidi"/>
          </w:rPr>
          <w:t>https://assets.publishing.service.gov.uk/government/uploads/system/uploads/attachment_data/file/705588/Revised_guidance_issued_under_section_182_of_the_Licensing_Act_2003__April_2018_.pdf</w:t>
        </w:r>
      </w:hyperlink>
    </w:p>
    <w:p w14:paraId="10A3540F" w14:textId="77777777" w:rsidR="0094605E" w:rsidRPr="00F00F64" w:rsidRDefault="0094605E" w:rsidP="0094605E">
      <w:pPr>
        <w:pStyle w:val="FootnoteText"/>
        <w:bidi w:val="0"/>
        <w:rPr>
          <w:rFonts w:asciiTheme="majorBidi" w:hAnsiTheme="majorBidi" w:cstheme="majorBidi"/>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3ADE" w14:textId="3CF04CA0" w:rsidR="00DE257C" w:rsidRDefault="00DE257C">
    <w:pPr>
      <w:pStyle w:val="Header"/>
    </w:pPr>
    <w:r>
      <w:rPr>
        <w:noProof/>
      </w:rPr>
      <w:drawing>
        <wp:anchor distT="0" distB="0" distL="114300" distR="114300" simplePos="0" relativeHeight="251659264" behindDoc="1" locked="0" layoutInCell="1" allowOverlap="1" wp14:anchorId="69B87967" wp14:editId="4FC03356">
          <wp:simplePos x="0" y="0"/>
          <wp:positionH relativeFrom="margin">
            <wp:posOffset>-200025</wp:posOffset>
          </wp:positionH>
          <wp:positionV relativeFrom="paragraph">
            <wp:posOffset>-191135</wp:posOffset>
          </wp:positionV>
          <wp:extent cx="5274310" cy="928370"/>
          <wp:effectExtent l="0" t="0" r="2540" b="5080"/>
          <wp:wrapTight wrapText="bothSides">
            <wp:wrapPolygon edited="0">
              <wp:start x="0" y="0"/>
              <wp:lineTo x="0" y="21275"/>
              <wp:lineTo x="21532" y="21275"/>
              <wp:lineTo x="21532" y="0"/>
              <wp:lineTo x="0" y="0"/>
            </wp:wrapPolygon>
          </wp:wrapTight>
          <wp:docPr id="2" name="Picture 2" descr="Israel Hotel Association 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תמונה 2" descr="Israel Hotel Association head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F4587"/>
    <w:multiLevelType w:val="hybridMultilevel"/>
    <w:tmpl w:val="231C6C2C"/>
    <w:lvl w:ilvl="0" w:tplc="63402EB4">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476EA1"/>
    <w:multiLevelType w:val="hybridMultilevel"/>
    <w:tmpl w:val="A1863844"/>
    <w:lvl w:ilvl="0" w:tplc="2646AE3C">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formatting="1" w:enforcement="1" w:cryptProviderType="rsaAES" w:cryptAlgorithmClass="hash" w:cryptAlgorithmType="typeAny" w:cryptAlgorithmSid="14" w:cryptSpinCount="100000" w:hash="3HaN8jEaMKtkq9P/Jue9hloteD4gZDL7+KTG4+Y2V3AnpT8k1Bj+yij733E5aROBm9xQLqbbQwvUPqqkg/LWaQ==" w:salt="brO1wL5hdq192f3Uz6r9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5E"/>
    <w:rsid w:val="0004357D"/>
    <w:rsid w:val="001E5ABB"/>
    <w:rsid w:val="00311647"/>
    <w:rsid w:val="0045692B"/>
    <w:rsid w:val="006C13B6"/>
    <w:rsid w:val="007738BF"/>
    <w:rsid w:val="0094605E"/>
    <w:rsid w:val="00AB20FB"/>
    <w:rsid w:val="00C0155F"/>
    <w:rsid w:val="00D322EF"/>
    <w:rsid w:val="00DA1B40"/>
    <w:rsid w:val="00DE257C"/>
    <w:rsid w:val="00E25CAB"/>
    <w:rsid w:val="00EE1548"/>
    <w:rsid w:val="00F00F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A59D"/>
  <w15:chartTrackingRefBased/>
  <w15:docId w15:val="{23F9F92D-1383-49FF-8ADD-7D501BEA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5E"/>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5E"/>
    <w:pPr>
      <w:spacing w:after="160" w:line="259" w:lineRule="auto"/>
      <w:ind w:left="720"/>
      <w:contextualSpacing/>
    </w:pPr>
  </w:style>
  <w:style w:type="paragraph" w:styleId="FootnoteText">
    <w:name w:val="footnote text"/>
    <w:basedOn w:val="Normal"/>
    <w:link w:val="FootnoteTextChar"/>
    <w:uiPriority w:val="99"/>
    <w:semiHidden/>
    <w:unhideWhenUsed/>
    <w:rsid w:val="00946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05E"/>
    <w:rPr>
      <w:rFonts w:ascii="Calibri" w:eastAsia="Calibri" w:hAnsi="Calibri" w:cs="Arial"/>
      <w:sz w:val="20"/>
      <w:szCs w:val="20"/>
    </w:rPr>
  </w:style>
  <w:style w:type="character" w:styleId="FootnoteReference">
    <w:name w:val="footnote reference"/>
    <w:uiPriority w:val="99"/>
    <w:semiHidden/>
    <w:unhideWhenUsed/>
    <w:rsid w:val="0094605E"/>
    <w:rPr>
      <w:vertAlign w:val="superscript"/>
    </w:rPr>
  </w:style>
  <w:style w:type="character" w:styleId="Hyperlink">
    <w:name w:val="Hyperlink"/>
    <w:uiPriority w:val="99"/>
    <w:unhideWhenUsed/>
    <w:rsid w:val="0094605E"/>
    <w:rPr>
      <w:color w:val="0000FF"/>
      <w:u w:val="single"/>
    </w:rPr>
  </w:style>
  <w:style w:type="paragraph" w:styleId="Header">
    <w:name w:val="header"/>
    <w:basedOn w:val="Normal"/>
    <w:link w:val="HeaderChar"/>
    <w:uiPriority w:val="99"/>
    <w:unhideWhenUsed/>
    <w:rsid w:val="00DE25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57C"/>
    <w:rPr>
      <w:rFonts w:ascii="Calibri" w:eastAsia="Calibri" w:hAnsi="Calibri" w:cs="Arial"/>
    </w:rPr>
  </w:style>
  <w:style w:type="paragraph" w:styleId="Footer">
    <w:name w:val="footer"/>
    <w:basedOn w:val="Normal"/>
    <w:link w:val="FooterChar"/>
    <w:uiPriority w:val="99"/>
    <w:unhideWhenUsed/>
    <w:rsid w:val="00DE25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257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data/file/705588/Revised_guidance_issued_under_section_182_of_the_Licensing_Act_2003__April_2018_.pdf" TargetMode="External"/><Relationship Id="rId1" Type="http://schemas.openxmlformats.org/officeDocument/2006/relationships/hyperlink" Target="https://www.robertsonhunter.com/retroactivity-of-the-statutory-changes-to-floridas-stand-your-ground-la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1063</Words>
  <Characters>5315</Characters>
  <Application>Microsoft Office Word</Application>
  <DocSecurity>8</DocSecurity>
  <Lines>44</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 Kaplan</dc:creator>
  <cp:keywords/>
  <dc:description/>
  <cp:lastModifiedBy>Nir Kaplan</cp:lastModifiedBy>
  <cp:revision>3</cp:revision>
  <dcterms:created xsi:type="dcterms:W3CDTF">2021-05-24T11:55:00Z</dcterms:created>
  <dcterms:modified xsi:type="dcterms:W3CDTF">2021-05-24T11:55:00Z</dcterms:modified>
</cp:coreProperties>
</file>